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FB04107" w:rsidR="00040A07" w:rsidRPr="008E5480" w:rsidRDefault="008E5480" w:rsidP="008E5480">
      <w:pPr>
        <w:spacing w:after="0" w:line="240" w:lineRule="auto"/>
        <w:rPr>
          <w:rFonts w:asciiTheme="majorHAnsi" w:eastAsia="Times New Roman" w:hAnsiTheme="majorHAnsi" w:cstheme="majorHAnsi"/>
          <w:b/>
          <w:sz w:val="28"/>
          <w:szCs w:val="28"/>
          <w:lang w:val="en-IN"/>
        </w:rPr>
      </w:pPr>
      <w:r w:rsidRPr="008E5480">
        <w:rPr>
          <w:rFonts w:asciiTheme="majorHAnsi" w:eastAsia="Times New Roman" w:hAnsiTheme="majorHAnsi" w:cstheme="majorHAnsi"/>
          <w:b/>
          <w:sz w:val="28"/>
          <w:szCs w:val="28"/>
          <w:lang w:val="en-IN"/>
        </w:rPr>
        <w:t xml:space="preserve">Raising the age of marriage will only criminalise </w:t>
      </w:r>
      <w:r>
        <w:rPr>
          <w:rFonts w:asciiTheme="majorHAnsi" w:eastAsia="Times New Roman" w:hAnsiTheme="majorHAnsi" w:cstheme="majorHAnsi"/>
          <w:b/>
          <w:sz w:val="28"/>
          <w:szCs w:val="28"/>
          <w:lang w:val="en-IN"/>
        </w:rPr>
        <w:t xml:space="preserve">and </w:t>
      </w:r>
      <w:r w:rsidRPr="008E5480">
        <w:rPr>
          <w:rFonts w:asciiTheme="majorHAnsi" w:eastAsia="Times New Roman" w:hAnsiTheme="majorHAnsi" w:cstheme="majorHAnsi"/>
          <w:b/>
          <w:sz w:val="28"/>
          <w:szCs w:val="28"/>
          <w:lang w:val="en-IN"/>
        </w:rPr>
        <w:t>not prevent – early marriages</w:t>
      </w:r>
      <w:r w:rsidR="009959C7">
        <w:rPr>
          <w:rStyle w:val="FootnoteReference"/>
          <w:rFonts w:asciiTheme="majorHAnsi" w:eastAsia="Times New Roman" w:hAnsiTheme="majorHAnsi" w:cstheme="majorHAnsi"/>
          <w:b/>
          <w:sz w:val="28"/>
          <w:szCs w:val="28"/>
          <w:lang w:val="en-IN"/>
        </w:rPr>
        <w:footnoteReference w:id="1"/>
      </w:r>
      <w:r w:rsidRPr="008E5480">
        <w:rPr>
          <w:rFonts w:asciiTheme="majorHAnsi" w:eastAsia="Times New Roman" w:hAnsiTheme="majorHAnsi" w:cstheme="majorHAnsi"/>
          <w:b/>
          <w:sz w:val="28"/>
          <w:szCs w:val="28"/>
          <w:lang w:val="en-IN"/>
        </w:rPr>
        <w:t xml:space="preserve"> </w:t>
      </w:r>
    </w:p>
    <w:p w14:paraId="7AE90CEB" w14:textId="59A18F27" w:rsidR="00C2262D" w:rsidRPr="00C2262D" w:rsidRDefault="00C2262D" w:rsidP="00C2262D">
      <w:pPr>
        <w:spacing w:after="0" w:line="240" w:lineRule="auto"/>
        <w:jc w:val="center"/>
        <w:rPr>
          <w:rFonts w:asciiTheme="majorHAnsi" w:eastAsia="Times New Roman" w:hAnsiTheme="majorHAnsi" w:cstheme="majorHAnsi"/>
          <w:b/>
          <w:lang w:val="en-IN"/>
        </w:rPr>
      </w:pPr>
    </w:p>
    <w:p w14:paraId="1077BF97" w14:textId="79937883" w:rsidR="00ED46EA" w:rsidRDefault="00FC7DF2" w:rsidP="00C2262D">
      <w:pPr>
        <w:spacing w:after="0" w:line="240" w:lineRule="auto"/>
        <w:jc w:val="both"/>
        <w:rPr>
          <w:rFonts w:asciiTheme="majorHAnsi" w:eastAsia="Times New Roman" w:hAnsiTheme="majorHAnsi" w:cstheme="majorHAnsi"/>
          <w:lang w:val="en-IN"/>
        </w:rPr>
      </w:pPr>
      <w:r>
        <w:rPr>
          <w:rFonts w:asciiTheme="majorHAnsi" w:eastAsia="Times New Roman" w:hAnsiTheme="majorHAnsi" w:cstheme="majorHAnsi"/>
          <w:lang w:val="en-IN"/>
        </w:rPr>
        <w:t xml:space="preserve">Media reports have informed </w:t>
      </w:r>
      <w:r w:rsidR="00ED46EA">
        <w:rPr>
          <w:rFonts w:asciiTheme="majorHAnsi" w:eastAsia="Times New Roman" w:hAnsiTheme="majorHAnsi" w:cstheme="majorHAnsi"/>
          <w:lang w:val="en-IN"/>
        </w:rPr>
        <w:t xml:space="preserve">that the Cabinet has cleared the proposal by Niti Ayog to raise the minimum age of marriage from 18 years to 21 years and bring amendments to the Prohibition of Child Marriage Act </w:t>
      </w:r>
      <w:proofErr w:type="gramStart"/>
      <w:r w:rsidR="00ED46EA">
        <w:rPr>
          <w:rFonts w:asciiTheme="majorHAnsi" w:eastAsia="Times New Roman" w:hAnsiTheme="majorHAnsi" w:cstheme="majorHAnsi"/>
          <w:lang w:val="en-IN"/>
        </w:rPr>
        <w:t>( 2006</w:t>
      </w:r>
      <w:proofErr w:type="gramEnd"/>
      <w:r w:rsidR="00ED46EA">
        <w:rPr>
          <w:rFonts w:asciiTheme="majorHAnsi" w:eastAsia="Times New Roman" w:hAnsiTheme="majorHAnsi" w:cstheme="majorHAnsi"/>
          <w:lang w:val="en-IN"/>
        </w:rPr>
        <w:t>) in Parliament.</w:t>
      </w:r>
    </w:p>
    <w:p w14:paraId="00000005" w14:textId="2F1EDED2" w:rsidR="00040A07" w:rsidRPr="00C2262D" w:rsidRDefault="00447A33" w:rsidP="00C2262D">
      <w:pP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 xml:space="preserve">We are presenting a short account of the main points that concern us.  Each of these points can be backed up with evidence (both macro and micro), as well as from years of experience on the ground in several regions of the country.  We would urge </w:t>
      </w:r>
      <w:r w:rsidR="00A43C53">
        <w:rPr>
          <w:rFonts w:asciiTheme="majorHAnsi" w:eastAsia="Times New Roman" w:hAnsiTheme="majorHAnsi" w:cstheme="majorHAnsi"/>
          <w:lang w:val="en-IN"/>
        </w:rPr>
        <w:t xml:space="preserve">the Parliament </w:t>
      </w:r>
      <w:r w:rsidRPr="00C2262D">
        <w:rPr>
          <w:rFonts w:asciiTheme="majorHAnsi" w:eastAsia="Times New Roman" w:hAnsiTheme="majorHAnsi" w:cstheme="majorHAnsi"/>
          <w:lang w:val="en-IN"/>
        </w:rPr>
        <w:t xml:space="preserve">to </w:t>
      </w:r>
      <w:r w:rsidR="00B1318D">
        <w:rPr>
          <w:rFonts w:asciiTheme="majorHAnsi" w:eastAsia="Times New Roman" w:hAnsiTheme="majorHAnsi" w:cstheme="majorHAnsi"/>
          <w:lang w:val="en-IN"/>
        </w:rPr>
        <w:t xml:space="preserve">have discussions with young people and further </w:t>
      </w:r>
      <w:r w:rsidRPr="00C2262D">
        <w:rPr>
          <w:rFonts w:asciiTheme="majorHAnsi" w:eastAsia="Times New Roman" w:hAnsiTheme="majorHAnsi" w:cstheme="majorHAnsi"/>
          <w:lang w:val="en-IN"/>
        </w:rPr>
        <w:t>engage</w:t>
      </w:r>
      <w:r w:rsidR="00724422">
        <w:rPr>
          <w:rFonts w:asciiTheme="majorHAnsi" w:eastAsia="Times New Roman" w:hAnsiTheme="majorHAnsi" w:cstheme="majorHAnsi"/>
          <w:lang w:val="en-IN"/>
        </w:rPr>
        <w:t xml:space="preserve"> with the evidence before considering any amendments.</w:t>
      </w:r>
    </w:p>
    <w:p w14:paraId="06D5474E" w14:textId="77777777" w:rsidR="00C2262D" w:rsidRPr="00C2262D" w:rsidRDefault="00C2262D" w:rsidP="00C2262D">
      <w:pPr>
        <w:spacing w:after="0" w:line="240" w:lineRule="auto"/>
        <w:jc w:val="both"/>
        <w:rPr>
          <w:rFonts w:asciiTheme="majorHAnsi" w:eastAsia="Times New Roman" w:hAnsiTheme="majorHAnsi" w:cstheme="majorHAnsi"/>
          <w:lang w:val="en-IN"/>
        </w:rPr>
      </w:pPr>
    </w:p>
    <w:p w14:paraId="00000006" w14:textId="3F1D3555" w:rsidR="00040A07" w:rsidRPr="00C2262D" w:rsidRDefault="00447A33" w:rsidP="00C2262D">
      <w:pP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We are all fully committed to gender equality and the promotion of women’s rights</w:t>
      </w:r>
      <w:r w:rsidR="00F23AC8" w:rsidRPr="00C2262D">
        <w:rPr>
          <w:rFonts w:asciiTheme="majorHAnsi" w:eastAsia="Times New Roman" w:hAnsiTheme="majorHAnsi" w:cstheme="majorHAnsi"/>
          <w:lang w:val="en-IN"/>
        </w:rPr>
        <w:t xml:space="preserve"> and the rights of the </w:t>
      </w:r>
      <w:proofErr w:type="gramStart"/>
      <w:r w:rsidR="00F23AC8" w:rsidRPr="00C2262D">
        <w:rPr>
          <w:rFonts w:asciiTheme="majorHAnsi" w:eastAsia="Times New Roman" w:hAnsiTheme="majorHAnsi" w:cstheme="majorHAnsi"/>
          <w:lang w:val="en-IN"/>
        </w:rPr>
        <w:t>child</w:t>
      </w:r>
      <w:r w:rsidRPr="00C2262D">
        <w:rPr>
          <w:rFonts w:asciiTheme="majorHAnsi" w:eastAsia="Times New Roman" w:hAnsiTheme="majorHAnsi" w:cstheme="majorHAnsi"/>
          <w:lang w:val="en-IN"/>
        </w:rPr>
        <w:t>, and</w:t>
      </w:r>
      <w:proofErr w:type="gramEnd"/>
      <w:r w:rsidRPr="00C2262D">
        <w:rPr>
          <w:rFonts w:asciiTheme="majorHAnsi" w:eastAsia="Times New Roman" w:hAnsiTheme="majorHAnsi" w:cstheme="majorHAnsi"/>
          <w:lang w:val="en-IN"/>
        </w:rPr>
        <w:t xml:space="preserve"> have been engaging on th</w:t>
      </w:r>
      <w:r w:rsidR="00F23AC8" w:rsidRPr="00C2262D">
        <w:rPr>
          <w:rFonts w:asciiTheme="majorHAnsi" w:eastAsia="Times New Roman" w:hAnsiTheme="majorHAnsi" w:cstheme="majorHAnsi"/>
          <w:lang w:val="en-IN"/>
        </w:rPr>
        <w:t>e</w:t>
      </w:r>
      <w:r w:rsidRPr="00C2262D">
        <w:rPr>
          <w:rFonts w:asciiTheme="majorHAnsi" w:eastAsia="Times New Roman" w:hAnsiTheme="majorHAnsi" w:cstheme="majorHAnsi"/>
          <w:lang w:val="en-IN"/>
        </w:rPr>
        <w:t>s</w:t>
      </w:r>
      <w:r w:rsidR="00F23AC8" w:rsidRPr="00C2262D">
        <w:rPr>
          <w:rFonts w:asciiTheme="majorHAnsi" w:eastAsia="Times New Roman" w:hAnsiTheme="majorHAnsi" w:cstheme="majorHAnsi"/>
          <w:lang w:val="en-IN"/>
        </w:rPr>
        <w:t>e</w:t>
      </w:r>
      <w:r w:rsidRPr="00C2262D">
        <w:rPr>
          <w:rFonts w:asciiTheme="majorHAnsi" w:eastAsia="Times New Roman" w:hAnsiTheme="majorHAnsi" w:cstheme="majorHAnsi"/>
          <w:lang w:val="en-IN"/>
        </w:rPr>
        <w:t xml:space="preserve"> front</w:t>
      </w:r>
      <w:r w:rsidR="00F23AC8" w:rsidRPr="00C2262D">
        <w:rPr>
          <w:rFonts w:asciiTheme="majorHAnsi" w:eastAsia="Times New Roman" w:hAnsiTheme="majorHAnsi" w:cstheme="majorHAnsi"/>
          <w:lang w:val="en-IN"/>
        </w:rPr>
        <w:t>s</w:t>
      </w:r>
      <w:r w:rsidRPr="00C2262D">
        <w:rPr>
          <w:rFonts w:asciiTheme="majorHAnsi" w:eastAsia="Times New Roman" w:hAnsiTheme="majorHAnsi" w:cstheme="majorHAnsi"/>
          <w:lang w:val="en-IN"/>
        </w:rPr>
        <w:t xml:space="preserve"> for decades together.  </w:t>
      </w:r>
      <w:proofErr w:type="gramStart"/>
      <w:r w:rsidRPr="00C2262D">
        <w:rPr>
          <w:rFonts w:asciiTheme="majorHAnsi" w:eastAsia="Times New Roman" w:hAnsiTheme="majorHAnsi" w:cstheme="majorHAnsi"/>
          <w:lang w:val="en-IN"/>
        </w:rPr>
        <w:t>So</w:t>
      </w:r>
      <w:proofErr w:type="gramEnd"/>
      <w:r w:rsidRPr="00C2262D">
        <w:rPr>
          <w:rFonts w:asciiTheme="majorHAnsi" w:eastAsia="Times New Roman" w:hAnsiTheme="majorHAnsi" w:cstheme="majorHAnsi"/>
          <w:lang w:val="en-IN"/>
        </w:rPr>
        <w:t xml:space="preserve"> it may seem surprising as to why we are questioning the idea of raising the </w:t>
      </w:r>
      <w:r w:rsidR="00F23AC8" w:rsidRPr="00C2262D">
        <w:rPr>
          <w:rFonts w:asciiTheme="majorHAnsi" w:eastAsia="Times New Roman" w:hAnsiTheme="majorHAnsi" w:cstheme="majorHAnsi"/>
          <w:lang w:val="en-IN"/>
        </w:rPr>
        <w:t xml:space="preserve">minimum legal </w:t>
      </w:r>
      <w:r w:rsidRPr="00C2262D">
        <w:rPr>
          <w:rFonts w:asciiTheme="majorHAnsi" w:eastAsia="Times New Roman" w:hAnsiTheme="majorHAnsi" w:cstheme="majorHAnsi"/>
          <w:lang w:val="en-IN"/>
        </w:rPr>
        <w:t>age of women’s marriage to 21 years (</w:t>
      </w:r>
      <w:r w:rsidR="00F23AC8" w:rsidRPr="00C2262D">
        <w:rPr>
          <w:rFonts w:asciiTheme="majorHAnsi" w:eastAsia="Times New Roman" w:hAnsiTheme="majorHAnsi" w:cstheme="majorHAnsi"/>
          <w:lang w:val="en-IN"/>
        </w:rPr>
        <w:t xml:space="preserve">to the same age </w:t>
      </w:r>
      <w:r w:rsidRPr="00C2262D">
        <w:rPr>
          <w:rFonts w:asciiTheme="majorHAnsi" w:eastAsia="Times New Roman" w:hAnsiTheme="majorHAnsi" w:cstheme="majorHAnsi"/>
          <w:lang w:val="en-IN"/>
        </w:rPr>
        <w:t xml:space="preserve">as that for men), which on the surface is surely a means to promote gender equality.  We hope you will agree that we are putting forward a very carefully </w:t>
      </w:r>
      <w:proofErr w:type="gramStart"/>
      <w:r w:rsidRPr="00C2262D">
        <w:rPr>
          <w:rFonts w:asciiTheme="majorHAnsi" w:eastAsia="Times New Roman" w:hAnsiTheme="majorHAnsi" w:cstheme="majorHAnsi"/>
          <w:lang w:val="en-IN"/>
        </w:rPr>
        <w:t>thought out</w:t>
      </w:r>
      <w:proofErr w:type="gramEnd"/>
      <w:r w:rsidRPr="00C2262D">
        <w:rPr>
          <w:rFonts w:asciiTheme="majorHAnsi" w:eastAsia="Times New Roman" w:hAnsiTheme="majorHAnsi" w:cstheme="majorHAnsi"/>
          <w:lang w:val="en-IN"/>
        </w:rPr>
        <w:t xml:space="preserve"> response on this matter, which must be considered seriously.</w:t>
      </w:r>
    </w:p>
    <w:p w14:paraId="5E93C7FB" w14:textId="77777777" w:rsidR="00C2262D" w:rsidRPr="00C2262D" w:rsidRDefault="00C2262D" w:rsidP="00C2262D">
      <w:pPr>
        <w:spacing w:after="0" w:line="240" w:lineRule="auto"/>
        <w:jc w:val="both"/>
        <w:rPr>
          <w:rFonts w:asciiTheme="majorHAnsi" w:eastAsia="Times New Roman" w:hAnsiTheme="majorHAnsi" w:cstheme="majorHAnsi"/>
          <w:lang w:val="en-IN"/>
        </w:rPr>
      </w:pPr>
    </w:p>
    <w:p w14:paraId="00000007" w14:textId="53CC58EF" w:rsidR="00040A07" w:rsidRPr="00C2262D" w:rsidRDefault="00447A33" w:rsidP="00C2262D">
      <w:pP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 xml:space="preserve">Our basic premise is that any proposed change in the law needs wide discussion, since it would have far </w:t>
      </w:r>
      <w:proofErr w:type="gramStart"/>
      <w:r w:rsidRPr="00C2262D">
        <w:rPr>
          <w:rFonts w:asciiTheme="majorHAnsi" w:eastAsia="Times New Roman" w:hAnsiTheme="majorHAnsi" w:cstheme="majorHAnsi"/>
          <w:lang w:val="en-IN"/>
        </w:rPr>
        <w:t>reaching</w:t>
      </w:r>
      <w:proofErr w:type="gramEnd"/>
      <w:r w:rsidRPr="00C2262D">
        <w:rPr>
          <w:rFonts w:asciiTheme="majorHAnsi" w:eastAsia="Times New Roman" w:hAnsiTheme="majorHAnsi" w:cstheme="majorHAnsi"/>
          <w:lang w:val="en-IN"/>
        </w:rPr>
        <w:t xml:space="preserve"> consequences at many levels, even more so at the present time of the pandemic and the accompanying social and economic crisis.  We urge the </w:t>
      </w:r>
      <w:r w:rsidR="00B766D1">
        <w:rPr>
          <w:rFonts w:asciiTheme="majorHAnsi" w:eastAsia="Times New Roman" w:hAnsiTheme="majorHAnsi" w:cstheme="majorHAnsi"/>
          <w:lang w:val="en-IN"/>
        </w:rPr>
        <w:t xml:space="preserve">Parliament </w:t>
      </w:r>
      <w:r w:rsidRPr="00C2262D">
        <w:rPr>
          <w:rFonts w:asciiTheme="majorHAnsi" w:eastAsia="Times New Roman" w:hAnsiTheme="majorHAnsi" w:cstheme="majorHAnsi"/>
          <w:b/>
          <w:bCs/>
          <w:i/>
          <w:lang w:val="en-IN"/>
        </w:rPr>
        <w:t>not to take up the legal route of raising the age of marriage for women from 18 to 21 years</w:t>
      </w:r>
      <w:r w:rsidRPr="00C2262D">
        <w:rPr>
          <w:rFonts w:asciiTheme="majorHAnsi" w:eastAsia="Times New Roman" w:hAnsiTheme="majorHAnsi" w:cstheme="majorHAnsi"/>
          <w:b/>
          <w:bCs/>
          <w:lang w:val="en-IN"/>
        </w:rPr>
        <w:t>,</w:t>
      </w:r>
      <w:r w:rsidRPr="00C2262D">
        <w:rPr>
          <w:rFonts w:asciiTheme="majorHAnsi" w:eastAsia="Times New Roman" w:hAnsiTheme="majorHAnsi" w:cstheme="majorHAnsi"/>
          <w:lang w:val="en-IN"/>
        </w:rPr>
        <w:t xml:space="preserve"> as has been reported in the news.  Instead, there are several productive – and urgent – measures that the government should be taking </w:t>
      </w:r>
      <w:proofErr w:type="gramStart"/>
      <w:r w:rsidRPr="00C2262D">
        <w:rPr>
          <w:rFonts w:asciiTheme="majorHAnsi" w:eastAsia="Times New Roman" w:hAnsiTheme="majorHAnsi" w:cstheme="majorHAnsi"/>
          <w:lang w:val="en-IN"/>
        </w:rPr>
        <w:t>in order to</w:t>
      </w:r>
      <w:proofErr w:type="gramEnd"/>
      <w:r w:rsidRPr="00C2262D">
        <w:rPr>
          <w:rFonts w:asciiTheme="majorHAnsi" w:eastAsia="Times New Roman" w:hAnsiTheme="majorHAnsi" w:cstheme="majorHAnsi"/>
          <w:lang w:val="en-IN"/>
        </w:rPr>
        <w:t xml:space="preserve"> strengthen the positive changes that are already underway according to the available evidence.  We make our points as briefly as possible, using official data such as the National Family Health Survey, and will refer to several studies in the references.  </w:t>
      </w:r>
      <w:proofErr w:type="gramStart"/>
      <w:r w:rsidRPr="00C2262D">
        <w:rPr>
          <w:rFonts w:asciiTheme="majorHAnsi" w:eastAsia="Times New Roman" w:hAnsiTheme="majorHAnsi" w:cstheme="majorHAnsi"/>
          <w:lang w:val="en-IN"/>
        </w:rPr>
        <w:t>Needless to say, we</w:t>
      </w:r>
      <w:proofErr w:type="gramEnd"/>
      <w:r w:rsidRPr="00C2262D">
        <w:rPr>
          <w:rFonts w:asciiTheme="majorHAnsi" w:eastAsia="Times New Roman" w:hAnsiTheme="majorHAnsi" w:cstheme="majorHAnsi"/>
          <w:lang w:val="en-IN"/>
        </w:rPr>
        <w:t xml:space="preserve"> are happy to provide further details if required.</w:t>
      </w:r>
    </w:p>
    <w:p w14:paraId="52B0E74D" w14:textId="77777777" w:rsidR="00C2262D" w:rsidRPr="00C2262D" w:rsidRDefault="00C2262D" w:rsidP="00C2262D">
      <w:pPr>
        <w:spacing w:after="0" w:line="240" w:lineRule="auto"/>
        <w:jc w:val="both"/>
        <w:rPr>
          <w:rFonts w:asciiTheme="majorHAnsi" w:eastAsia="Times New Roman" w:hAnsiTheme="majorHAnsi" w:cstheme="majorHAnsi"/>
          <w:b/>
          <w:lang w:val="en-IN"/>
        </w:rPr>
      </w:pPr>
    </w:p>
    <w:p w14:paraId="00000008" w14:textId="77777777" w:rsidR="00040A07" w:rsidRPr="00C2262D" w:rsidRDefault="00447A33" w:rsidP="00C2262D">
      <w:pPr>
        <w:spacing w:after="0" w:line="240" w:lineRule="auto"/>
        <w:jc w:val="both"/>
        <w:rPr>
          <w:rFonts w:asciiTheme="majorHAnsi" w:eastAsia="Times New Roman" w:hAnsiTheme="majorHAnsi" w:cstheme="majorHAnsi"/>
          <w:b/>
          <w:lang w:val="en-IN"/>
        </w:rPr>
      </w:pPr>
      <w:r w:rsidRPr="00C2262D">
        <w:rPr>
          <w:rFonts w:asciiTheme="majorHAnsi" w:eastAsia="Times New Roman" w:hAnsiTheme="majorHAnsi" w:cstheme="majorHAnsi"/>
          <w:b/>
          <w:lang w:val="en-IN"/>
        </w:rPr>
        <w:t xml:space="preserve">1.  Child marriage has already given way to </w:t>
      </w:r>
      <w:r w:rsidRPr="00C2262D">
        <w:rPr>
          <w:rFonts w:asciiTheme="majorHAnsi" w:eastAsia="Times New Roman" w:hAnsiTheme="majorHAnsi" w:cstheme="majorHAnsi"/>
          <w:b/>
          <w:i/>
          <w:lang w:val="en-IN"/>
        </w:rPr>
        <w:t>late adolescent</w:t>
      </w:r>
      <w:r w:rsidRPr="00C2262D">
        <w:rPr>
          <w:rFonts w:asciiTheme="majorHAnsi" w:eastAsia="Times New Roman" w:hAnsiTheme="majorHAnsi" w:cstheme="majorHAnsi"/>
          <w:b/>
          <w:lang w:val="en-IN"/>
        </w:rPr>
        <w:t xml:space="preserve"> marriage.  </w:t>
      </w:r>
    </w:p>
    <w:p w14:paraId="00000009" w14:textId="1191594C" w:rsidR="00040A07" w:rsidRPr="00C2262D" w:rsidRDefault="00447A33" w:rsidP="00C2262D">
      <w:pPr>
        <w:pBdr>
          <w:top w:val="nil"/>
          <w:left w:val="nil"/>
          <w:bottom w:val="nil"/>
          <w:right w:val="nil"/>
          <w:between w:val="nil"/>
        </w:pBd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At the all-India level, out of all women who were 20-24 years old at the time of the NFHS-4 survey</w:t>
      </w:r>
      <w:r w:rsidR="00D36E2A">
        <w:rPr>
          <w:rStyle w:val="FootnoteReference"/>
          <w:rFonts w:asciiTheme="majorHAnsi" w:eastAsia="Times New Roman" w:hAnsiTheme="majorHAnsi" w:cstheme="majorHAnsi"/>
          <w:lang w:val="en-IN"/>
        </w:rPr>
        <w:footnoteReference w:id="2"/>
      </w:r>
      <w:r w:rsidRPr="00C2262D">
        <w:rPr>
          <w:rFonts w:asciiTheme="majorHAnsi" w:eastAsia="Times New Roman" w:hAnsiTheme="majorHAnsi" w:cstheme="majorHAnsi"/>
          <w:lang w:val="en-IN"/>
        </w:rPr>
        <w:t xml:space="preserve">, </w:t>
      </w:r>
      <w:r w:rsidRPr="00C2262D">
        <w:rPr>
          <w:rFonts w:asciiTheme="majorHAnsi" w:eastAsia="Times New Roman" w:hAnsiTheme="majorHAnsi" w:cstheme="majorHAnsi"/>
          <w:i/>
          <w:lang w:val="en-IN"/>
        </w:rPr>
        <w:t>only 6.6% were married below 15 years</w:t>
      </w:r>
      <w:r w:rsidRPr="00C2262D">
        <w:rPr>
          <w:rFonts w:asciiTheme="majorHAnsi" w:eastAsia="Times New Roman" w:hAnsiTheme="majorHAnsi" w:cstheme="majorHAnsi"/>
          <w:lang w:val="en-IN"/>
        </w:rPr>
        <w:t xml:space="preserve"> (young adolescents), while as many as </w:t>
      </w:r>
      <w:r w:rsidRPr="00C2262D">
        <w:rPr>
          <w:rFonts w:asciiTheme="majorHAnsi" w:eastAsia="Times New Roman" w:hAnsiTheme="majorHAnsi" w:cstheme="majorHAnsi"/>
          <w:i/>
          <w:lang w:val="en-IN"/>
        </w:rPr>
        <w:t>20.2% were married between 15-17 years</w:t>
      </w:r>
      <w:r w:rsidRPr="00C2262D">
        <w:rPr>
          <w:rFonts w:asciiTheme="majorHAnsi" w:eastAsia="Times New Roman" w:hAnsiTheme="majorHAnsi" w:cstheme="majorHAnsi"/>
          <w:lang w:val="en-IN"/>
        </w:rPr>
        <w:t xml:space="preserve"> (late adolescence).  In other words, less than 27% (of women in the 20-24 age group) were married before the current legal age of 18 years.  This marks a huge improvement from the last decade.  Similar improvements can be shown using Census data 2001 to 2011.  </w:t>
      </w:r>
    </w:p>
    <w:p w14:paraId="0000000A" w14:textId="77777777" w:rsidR="00040A07" w:rsidRPr="00C2262D" w:rsidRDefault="00447A33" w:rsidP="00C2262D">
      <w:pPr>
        <w:pBdr>
          <w:top w:val="nil"/>
          <w:left w:val="nil"/>
          <w:bottom w:val="nil"/>
          <w:right w:val="nil"/>
          <w:between w:val="nil"/>
        </w:pBd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b/>
          <w:lang w:val="en-IN"/>
        </w:rPr>
        <w:t>Thus, child marriage is no longer a significant phenomenon in India – what we now see is late adolescent marriage, and even here the age at marriage has been improving.  Prior to the onset of the pandemic, on the ground information has led us to expect further improvements.</w:t>
      </w:r>
    </w:p>
    <w:p w14:paraId="0000000B" w14:textId="77777777" w:rsidR="00040A07" w:rsidRPr="00C2262D" w:rsidRDefault="00040A07" w:rsidP="00C2262D">
      <w:pPr>
        <w:pBdr>
          <w:top w:val="nil"/>
          <w:left w:val="nil"/>
          <w:bottom w:val="nil"/>
          <w:right w:val="nil"/>
          <w:between w:val="nil"/>
        </w:pBdr>
        <w:spacing w:after="0" w:line="240" w:lineRule="auto"/>
        <w:jc w:val="both"/>
        <w:rPr>
          <w:rFonts w:asciiTheme="majorHAnsi" w:eastAsia="Times New Roman" w:hAnsiTheme="majorHAnsi" w:cstheme="majorHAnsi"/>
          <w:lang w:val="en-IN"/>
        </w:rPr>
      </w:pPr>
    </w:p>
    <w:p w14:paraId="0000000C" w14:textId="731235F3" w:rsidR="00040A07" w:rsidRPr="00C2262D" w:rsidRDefault="00447A33" w:rsidP="00C2262D">
      <w:pPr>
        <w:pBdr>
          <w:top w:val="nil"/>
          <w:left w:val="nil"/>
          <w:bottom w:val="nil"/>
          <w:right w:val="nil"/>
          <w:between w:val="nil"/>
        </w:pBd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 xml:space="preserve">Should the legal age of marriage be raised to 21 years, no less </w:t>
      </w:r>
      <w:proofErr w:type="gramStart"/>
      <w:r w:rsidRPr="00C2262D">
        <w:rPr>
          <w:rFonts w:asciiTheme="majorHAnsi" w:eastAsia="Times New Roman" w:hAnsiTheme="majorHAnsi" w:cstheme="majorHAnsi"/>
          <w:lang w:val="en-IN"/>
        </w:rPr>
        <w:t xml:space="preserve">than  </w:t>
      </w:r>
      <w:r w:rsidRPr="00C2262D">
        <w:rPr>
          <w:rFonts w:asciiTheme="majorHAnsi" w:eastAsia="Times New Roman" w:hAnsiTheme="majorHAnsi" w:cstheme="majorHAnsi"/>
          <w:i/>
          <w:lang w:val="en-IN"/>
        </w:rPr>
        <w:t>56</w:t>
      </w:r>
      <w:proofErr w:type="gramEnd"/>
      <w:r w:rsidRPr="00C2262D">
        <w:rPr>
          <w:rFonts w:asciiTheme="majorHAnsi" w:eastAsia="Times New Roman" w:hAnsiTheme="majorHAnsi" w:cstheme="majorHAnsi"/>
          <w:i/>
          <w:lang w:val="en-IN"/>
        </w:rPr>
        <w:t>% of the women (in the 20-24 year age group</w:t>
      </w:r>
      <w:r w:rsidR="00EA0178" w:rsidRPr="00C2262D">
        <w:rPr>
          <w:rFonts w:asciiTheme="majorHAnsi" w:eastAsia="Times New Roman" w:hAnsiTheme="majorHAnsi" w:cstheme="majorHAnsi"/>
          <w:i/>
          <w:lang w:val="en-IN"/>
        </w:rPr>
        <w:t xml:space="preserve"> of NFHS IV</w:t>
      </w:r>
      <w:r w:rsidRPr="00C2262D">
        <w:rPr>
          <w:rFonts w:asciiTheme="majorHAnsi" w:eastAsia="Times New Roman" w:hAnsiTheme="majorHAnsi" w:cstheme="majorHAnsi"/>
          <w:i/>
          <w:lang w:val="en-IN"/>
        </w:rPr>
        <w:t>) who marr</w:t>
      </w:r>
      <w:r w:rsidR="00642561" w:rsidRPr="00C2262D">
        <w:rPr>
          <w:rFonts w:asciiTheme="majorHAnsi" w:eastAsia="Times New Roman" w:hAnsiTheme="majorHAnsi" w:cstheme="majorHAnsi"/>
          <w:i/>
          <w:lang w:val="en-IN"/>
        </w:rPr>
        <w:t>ied</w:t>
      </w:r>
      <w:r w:rsidRPr="00C2262D">
        <w:rPr>
          <w:rFonts w:asciiTheme="majorHAnsi" w:eastAsia="Times New Roman" w:hAnsiTheme="majorHAnsi" w:cstheme="majorHAnsi"/>
          <w:i/>
          <w:lang w:val="en-IN"/>
        </w:rPr>
        <w:t xml:space="preserve"> below this age – and their families – w</w:t>
      </w:r>
      <w:r w:rsidR="00642561" w:rsidRPr="00C2262D">
        <w:rPr>
          <w:rFonts w:asciiTheme="majorHAnsi" w:eastAsia="Times New Roman" w:hAnsiTheme="majorHAnsi" w:cstheme="majorHAnsi"/>
          <w:i/>
          <w:lang w:val="en-IN"/>
        </w:rPr>
        <w:t>ould</w:t>
      </w:r>
      <w:r w:rsidRPr="00C2262D">
        <w:rPr>
          <w:rFonts w:asciiTheme="majorHAnsi" w:eastAsia="Times New Roman" w:hAnsiTheme="majorHAnsi" w:cstheme="majorHAnsi"/>
          <w:i/>
          <w:lang w:val="en-IN"/>
        </w:rPr>
        <w:t xml:space="preserve"> be turned into criminals overnight.</w:t>
      </w:r>
      <w:r w:rsidRPr="00C2262D">
        <w:rPr>
          <w:rFonts w:asciiTheme="majorHAnsi" w:eastAsia="Times New Roman" w:hAnsiTheme="majorHAnsi" w:cstheme="majorHAnsi"/>
          <w:lang w:val="en-IN"/>
        </w:rPr>
        <w:t xml:space="preserve">  Moreover, this proportion is </w:t>
      </w:r>
      <w:r w:rsidRPr="00C2262D">
        <w:rPr>
          <w:rFonts w:asciiTheme="majorHAnsi" w:eastAsia="Times New Roman" w:hAnsiTheme="majorHAnsi" w:cstheme="majorHAnsi"/>
          <w:i/>
          <w:lang w:val="en-IN"/>
        </w:rPr>
        <w:t>as high as 75% amongst the poorest twenty percent of the population</w:t>
      </w:r>
      <w:r w:rsidRPr="00C2262D">
        <w:rPr>
          <w:rFonts w:asciiTheme="majorHAnsi" w:eastAsia="Times New Roman" w:hAnsiTheme="majorHAnsi" w:cstheme="majorHAnsi"/>
          <w:lang w:val="en-IN"/>
        </w:rPr>
        <w:t>. Even in a progressive state like Kerala (with excellent health coverage</w:t>
      </w:r>
      <w:r w:rsidR="00B95161" w:rsidRPr="00C2262D">
        <w:rPr>
          <w:rFonts w:asciiTheme="majorHAnsi" w:eastAsia="Times New Roman" w:hAnsiTheme="majorHAnsi" w:cstheme="majorHAnsi"/>
          <w:lang w:val="en-IN"/>
        </w:rPr>
        <w:t xml:space="preserve"> and high levels of education</w:t>
      </w:r>
      <w:r w:rsidRPr="00C2262D">
        <w:rPr>
          <w:rFonts w:asciiTheme="majorHAnsi" w:eastAsia="Times New Roman" w:hAnsiTheme="majorHAnsi" w:cstheme="majorHAnsi"/>
          <w:lang w:val="en-IN"/>
        </w:rPr>
        <w:t xml:space="preserve">) one third of all women in the </w:t>
      </w:r>
      <w:proofErr w:type="gramStart"/>
      <w:r w:rsidRPr="00C2262D">
        <w:rPr>
          <w:rFonts w:asciiTheme="majorHAnsi" w:eastAsia="Times New Roman" w:hAnsiTheme="majorHAnsi" w:cstheme="majorHAnsi"/>
          <w:lang w:val="en-IN"/>
        </w:rPr>
        <w:t>20-24 year</w:t>
      </w:r>
      <w:proofErr w:type="gramEnd"/>
      <w:r w:rsidRPr="00C2262D">
        <w:rPr>
          <w:rFonts w:asciiTheme="majorHAnsi" w:eastAsia="Times New Roman" w:hAnsiTheme="majorHAnsi" w:cstheme="majorHAnsi"/>
          <w:lang w:val="en-IN"/>
        </w:rPr>
        <w:t xml:space="preserve"> group marry below 21 years. </w:t>
      </w:r>
      <w:r w:rsidR="00C704D4" w:rsidRPr="00C2262D">
        <w:rPr>
          <w:rFonts w:asciiTheme="majorHAnsi" w:eastAsia="Times New Roman" w:hAnsiTheme="majorHAnsi" w:cstheme="majorHAnsi"/>
          <w:lang w:val="en-IN"/>
        </w:rPr>
        <w:t xml:space="preserve">Note further that these estimates suffer from what is called the truncation effect:  Many women in the age group 18-20 years at the time of the survey and who were unmarried would be marrying before the age of 21 years.  </w:t>
      </w:r>
      <w:r w:rsidR="00C704D4" w:rsidRPr="00C2262D">
        <w:rPr>
          <w:rFonts w:asciiTheme="majorHAnsi" w:eastAsia="Times New Roman" w:hAnsiTheme="majorHAnsi" w:cstheme="majorHAnsi"/>
          <w:b/>
          <w:bCs/>
          <w:lang w:val="en-IN"/>
        </w:rPr>
        <w:t xml:space="preserve">In other words, the vast majority of Indian women across the country marry before </w:t>
      </w:r>
      <w:proofErr w:type="gramStart"/>
      <w:r w:rsidR="00C704D4" w:rsidRPr="00C2262D">
        <w:rPr>
          <w:rFonts w:asciiTheme="majorHAnsi" w:eastAsia="Times New Roman" w:hAnsiTheme="majorHAnsi" w:cstheme="majorHAnsi"/>
          <w:b/>
          <w:bCs/>
          <w:lang w:val="en-IN"/>
        </w:rPr>
        <w:t>21, and</w:t>
      </w:r>
      <w:proofErr w:type="gramEnd"/>
      <w:r w:rsidR="00C704D4" w:rsidRPr="00C2262D">
        <w:rPr>
          <w:rFonts w:asciiTheme="majorHAnsi" w:eastAsia="Times New Roman" w:hAnsiTheme="majorHAnsi" w:cstheme="majorHAnsi"/>
          <w:b/>
          <w:bCs/>
          <w:lang w:val="en-IN"/>
        </w:rPr>
        <w:t xml:space="preserve"> would now become </w:t>
      </w:r>
      <w:proofErr w:type="spellStart"/>
      <w:r w:rsidR="00C704D4" w:rsidRPr="00C2262D">
        <w:rPr>
          <w:rFonts w:asciiTheme="majorHAnsi" w:eastAsia="Times New Roman" w:hAnsiTheme="majorHAnsi" w:cstheme="majorHAnsi"/>
          <w:b/>
          <w:bCs/>
          <w:lang w:val="en-IN"/>
        </w:rPr>
        <w:t>criminalisable</w:t>
      </w:r>
      <w:proofErr w:type="spellEnd"/>
      <w:r w:rsidR="00C704D4" w:rsidRPr="00C2262D">
        <w:rPr>
          <w:rFonts w:asciiTheme="majorHAnsi" w:eastAsia="Times New Roman" w:hAnsiTheme="majorHAnsi" w:cstheme="majorHAnsi"/>
          <w:lang w:val="en-IN"/>
        </w:rPr>
        <w:t xml:space="preserve">.  </w:t>
      </w:r>
    </w:p>
    <w:p w14:paraId="0000000D" w14:textId="77777777" w:rsidR="00040A07" w:rsidRPr="00C2262D" w:rsidRDefault="00040A07" w:rsidP="00C2262D">
      <w:pPr>
        <w:pBdr>
          <w:top w:val="nil"/>
          <w:left w:val="nil"/>
          <w:bottom w:val="nil"/>
          <w:right w:val="nil"/>
          <w:between w:val="nil"/>
        </w:pBdr>
        <w:spacing w:after="0" w:line="240" w:lineRule="auto"/>
        <w:ind w:left="714"/>
        <w:jc w:val="both"/>
        <w:rPr>
          <w:rFonts w:asciiTheme="majorHAnsi" w:eastAsia="Times New Roman" w:hAnsiTheme="majorHAnsi" w:cstheme="majorHAnsi"/>
          <w:lang w:val="en-IN"/>
        </w:rPr>
      </w:pPr>
    </w:p>
    <w:p w14:paraId="0000000E" w14:textId="77777777" w:rsidR="00040A07" w:rsidRPr="00C2262D" w:rsidRDefault="00447A33" w:rsidP="00C2262D">
      <w:pPr>
        <w:spacing w:after="0" w:line="240" w:lineRule="auto"/>
        <w:jc w:val="both"/>
        <w:rPr>
          <w:rFonts w:asciiTheme="majorHAnsi" w:eastAsia="Times New Roman" w:hAnsiTheme="majorHAnsi" w:cstheme="majorHAnsi"/>
          <w:b/>
          <w:lang w:val="en-IN"/>
        </w:rPr>
      </w:pPr>
      <w:r w:rsidRPr="00C2262D">
        <w:rPr>
          <w:rFonts w:asciiTheme="majorHAnsi" w:eastAsia="Times New Roman" w:hAnsiTheme="majorHAnsi" w:cstheme="majorHAnsi"/>
          <w:b/>
          <w:lang w:val="en-IN"/>
        </w:rPr>
        <w:lastRenderedPageBreak/>
        <w:t xml:space="preserve">2.  Early marriage is the consequence – not the cause – of girls dropping out of school. </w:t>
      </w:r>
    </w:p>
    <w:p w14:paraId="0000000F" w14:textId="67A6679C" w:rsidR="00511C99" w:rsidRPr="00C2262D" w:rsidRDefault="00447A33" w:rsidP="00C2262D">
      <w:pP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 xml:space="preserve">It is well known that there is a strong correlation between fewer years of education and lower ages at marriage.  But which is the cause and which the consequence?  Are daughters being pulled out of school (or college) to be married </w:t>
      </w:r>
      <w:proofErr w:type="gramStart"/>
      <w:r w:rsidRPr="00C2262D">
        <w:rPr>
          <w:rFonts w:asciiTheme="majorHAnsi" w:eastAsia="Times New Roman" w:hAnsiTheme="majorHAnsi" w:cstheme="majorHAnsi"/>
          <w:lang w:val="en-IN"/>
        </w:rPr>
        <w:t>off ?</w:t>
      </w:r>
      <w:proofErr w:type="gramEnd"/>
      <w:r w:rsidRPr="00C2262D">
        <w:rPr>
          <w:rFonts w:asciiTheme="majorHAnsi" w:eastAsia="Times New Roman" w:hAnsiTheme="majorHAnsi" w:cstheme="majorHAnsi"/>
          <w:lang w:val="en-IN"/>
        </w:rPr>
        <w:t xml:space="preserve">  Or are girls dropping out of school for other reasons, and then being married off?  There are now excellent </w:t>
      </w:r>
      <w:proofErr w:type="gramStart"/>
      <w:r w:rsidRPr="00C2262D">
        <w:rPr>
          <w:rFonts w:asciiTheme="majorHAnsi" w:eastAsia="Times New Roman" w:hAnsiTheme="majorHAnsi" w:cstheme="majorHAnsi"/>
          <w:lang w:val="en-IN"/>
        </w:rPr>
        <w:t>field based</w:t>
      </w:r>
      <w:proofErr w:type="gramEnd"/>
      <w:r w:rsidRPr="00C2262D">
        <w:rPr>
          <w:rFonts w:asciiTheme="majorHAnsi" w:eastAsia="Times New Roman" w:hAnsiTheme="majorHAnsi" w:cstheme="majorHAnsi"/>
          <w:lang w:val="en-IN"/>
        </w:rPr>
        <w:t xml:space="preserve"> studies in those states reporting high rates of early marriage</w:t>
      </w:r>
      <w:r w:rsidRPr="00C2262D">
        <w:rPr>
          <w:rFonts w:asciiTheme="majorHAnsi" w:eastAsia="Times New Roman" w:hAnsiTheme="majorHAnsi" w:cstheme="majorHAnsi"/>
          <w:b/>
          <w:lang w:val="en-IN"/>
        </w:rPr>
        <w:t xml:space="preserve">, </w:t>
      </w:r>
      <w:r w:rsidRPr="00C2262D">
        <w:rPr>
          <w:rFonts w:asciiTheme="majorHAnsi" w:eastAsia="Times New Roman" w:hAnsiTheme="majorHAnsi" w:cstheme="majorHAnsi"/>
          <w:lang w:val="en-IN"/>
        </w:rPr>
        <w:t>such as West Bengal, Rajasthan, Telangana</w:t>
      </w:r>
      <w:r w:rsidR="00511C99" w:rsidRPr="00C2262D">
        <w:rPr>
          <w:rFonts w:asciiTheme="majorHAnsi" w:eastAsia="Times New Roman" w:hAnsiTheme="majorHAnsi" w:cstheme="majorHAnsi"/>
          <w:vertAlign w:val="superscript"/>
          <w:lang w:val="en-IN"/>
        </w:rPr>
        <w:endnoteReference w:id="1"/>
      </w:r>
      <w:r w:rsidR="00511C99" w:rsidRPr="00C2262D">
        <w:rPr>
          <w:rFonts w:asciiTheme="majorHAnsi" w:eastAsia="Times New Roman" w:hAnsiTheme="majorHAnsi" w:cstheme="majorHAnsi"/>
          <w:lang w:val="en-IN"/>
        </w:rPr>
        <w:t>,  Andhra Pradesh</w:t>
      </w:r>
      <w:r w:rsidR="00511C99" w:rsidRPr="00C2262D">
        <w:rPr>
          <w:rFonts w:asciiTheme="majorHAnsi" w:eastAsia="Times New Roman" w:hAnsiTheme="majorHAnsi" w:cstheme="majorHAnsi"/>
          <w:vertAlign w:val="superscript"/>
          <w:lang w:val="en-IN"/>
        </w:rPr>
        <w:endnoteReference w:id="2"/>
      </w:r>
      <w:r w:rsidR="00511C99" w:rsidRPr="00C2262D">
        <w:rPr>
          <w:rFonts w:asciiTheme="majorHAnsi" w:eastAsia="Times New Roman" w:hAnsiTheme="majorHAnsi" w:cstheme="majorHAnsi"/>
          <w:lang w:val="en-IN"/>
        </w:rPr>
        <w:t>, and Jharkhand.</w:t>
      </w:r>
      <w:r w:rsidR="00511C99" w:rsidRPr="00C2262D">
        <w:rPr>
          <w:rFonts w:asciiTheme="majorHAnsi" w:eastAsia="Times New Roman" w:hAnsiTheme="majorHAnsi" w:cstheme="majorHAnsi"/>
          <w:vertAlign w:val="superscript"/>
          <w:lang w:val="en-IN"/>
        </w:rPr>
        <w:endnoteReference w:id="3"/>
      </w:r>
      <w:r w:rsidR="00511C99" w:rsidRPr="00C2262D">
        <w:rPr>
          <w:rFonts w:asciiTheme="majorHAnsi" w:eastAsia="Times New Roman" w:hAnsiTheme="majorHAnsi" w:cstheme="majorHAnsi"/>
          <w:b/>
          <w:lang w:val="en-IN"/>
        </w:rPr>
        <w:t xml:space="preserve"> </w:t>
      </w:r>
      <w:r w:rsidR="00511C99" w:rsidRPr="00C2262D">
        <w:rPr>
          <w:rFonts w:asciiTheme="majorHAnsi" w:eastAsia="Times New Roman" w:hAnsiTheme="majorHAnsi" w:cstheme="majorHAnsi"/>
          <w:lang w:val="en-IN"/>
        </w:rPr>
        <w:t>The most frequent sequence is that girls drop out first and only then are married off.</w:t>
      </w:r>
      <w:r w:rsidR="00511C99" w:rsidRPr="00C2262D">
        <w:rPr>
          <w:rFonts w:asciiTheme="majorHAnsi" w:eastAsia="Times New Roman" w:hAnsiTheme="majorHAnsi" w:cstheme="majorHAnsi"/>
          <w:b/>
          <w:lang w:val="en-IN"/>
        </w:rPr>
        <w:t xml:space="preserve">  </w:t>
      </w:r>
      <w:r w:rsidR="00511C99" w:rsidRPr="00C2262D">
        <w:rPr>
          <w:rFonts w:asciiTheme="majorHAnsi" w:eastAsia="Times New Roman" w:hAnsiTheme="majorHAnsi" w:cstheme="majorHAnsi"/>
          <w:lang w:val="en-IN"/>
        </w:rPr>
        <w:t>Girls end up dropping out</w:t>
      </w:r>
      <w:r w:rsidR="00511C99" w:rsidRPr="00C2262D">
        <w:rPr>
          <w:rFonts w:asciiTheme="majorHAnsi" w:eastAsia="Times New Roman" w:hAnsiTheme="majorHAnsi" w:cstheme="majorHAnsi"/>
          <w:b/>
          <w:lang w:val="en-IN"/>
        </w:rPr>
        <w:t xml:space="preserve"> </w:t>
      </w:r>
      <w:r w:rsidR="00511C99" w:rsidRPr="00C2262D">
        <w:rPr>
          <w:rFonts w:asciiTheme="majorHAnsi" w:eastAsia="Times New Roman" w:hAnsiTheme="majorHAnsi" w:cstheme="majorHAnsi"/>
          <w:lang w:val="en-IN"/>
        </w:rPr>
        <w:t>despite their mothers being strongly committed to educating their daughters</w:t>
      </w:r>
      <w:r w:rsidR="00511C99" w:rsidRPr="00C2262D">
        <w:rPr>
          <w:rFonts w:asciiTheme="majorHAnsi" w:eastAsia="Times New Roman" w:hAnsiTheme="majorHAnsi" w:cstheme="majorHAnsi"/>
          <w:b/>
          <w:lang w:val="en-IN"/>
        </w:rPr>
        <w:t>.  Rather than marriage being the reason for drop out, it is the school system that is failing girls,</w:t>
      </w:r>
      <w:r w:rsidR="00511C99" w:rsidRPr="00C2262D">
        <w:rPr>
          <w:rFonts w:asciiTheme="majorHAnsi" w:eastAsia="Times New Roman" w:hAnsiTheme="majorHAnsi" w:cstheme="majorHAnsi"/>
          <w:lang w:val="en-IN"/>
        </w:rPr>
        <w:t xml:space="preserve"> who are constrained by poverty and low quality of education, pushed out of the schooling system, thus becoming vulnerable to early marriage. </w:t>
      </w:r>
    </w:p>
    <w:p w14:paraId="75E1C86D" w14:textId="77777777" w:rsidR="00C2262D" w:rsidRPr="00C2262D" w:rsidRDefault="00C2262D" w:rsidP="00C2262D">
      <w:pPr>
        <w:spacing w:after="0" w:line="240" w:lineRule="auto"/>
        <w:jc w:val="both"/>
        <w:rPr>
          <w:rFonts w:asciiTheme="majorHAnsi" w:eastAsia="Times New Roman" w:hAnsiTheme="majorHAnsi" w:cstheme="majorHAnsi"/>
          <w:lang w:val="en-IN"/>
        </w:rPr>
      </w:pPr>
    </w:p>
    <w:p w14:paraId="00000010" w14:textId="6C8E6C8A" w:rsidR="00511C99" w:rsidRPr="00C2262D" w:rsidRDefault="00511C99" w:rsidP="00C2262D">
      <w:pP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Th</w:t>
      </w:r>
      <w:r w:rsidR="00365684">
        <w:rPr>
          <w:rFonts w:asciiTheme="majorHAnsi" w:eastAsia="Times New Roman" w:hAnsiTheme="majorHAnsi" w:cstheme="majorHAnsi"/>
          <w:lang w:val="en-IN"/>
        </w:rPr>
        <w:t xml:space="preserve">e Government </w:t>
      </w:r>
      <w:r w:rsidRPr="00C2262D">
        <w:rPr>
          <w:rFonts w:asciiTheme="majorHAnsi" w:eastAsia="Times New Roman" w:hAnsiTheme="majorHAnsi" w:cstheme="majorHAnsi"/>
          <w:lang w:val="en-IN"/>
        </w:rPr>
        <w:t>is seeking ways to increase access to higher education – which is a crying need in rural India especially</w:t>
      </w:r>
      <w:r w:rsidRPr="00C2262D">
        <w:rPr>
          <w:rFonts w:asciiTheme="majorHAnsi" w:eastAsia="Times New Roman" w:hAnsiTheme="majorHAnsi" w:cstheme="majorHAnsi"/>
          <w:b/>
          <w:lang w:val="en-IN"/>
        </w:rPr>
        <w:t>.  This means investing in secondary and higher secondary levels of schooling in rural areas</w:t>
      </w:r>
      <w:r w:rsidRPr="00C2262D">
        <w:rPr>
          <w:rFonts w:asciiTheme="majorHAnsi" w:eastAsia="Times New Roman" w:hAnsiTheme="majorHAnsi" w:cstheme="majorHAnsi"/>
          <w:lang w:val="en-IN"/>
        </w:rPr>
        <w:t xml:space="preserve">.  Existing research shows that in those villages with high schools there are much lower rates of early marriage.  On the other hand, early marriages are more prevalent where the quality of schooling is poor, ending at the level of elementary education, and girls are at home with no other work than to help with domestic chores. Adolescents’ fundamental right to education </w:t>
      </w:r>
      <w:r w:rsidR="00B95161" w:rsidRPr="00C2262D">
        <w:rPr>
          <w:rFonts w:asciiTheme="majorHAnsi" w:eastAsia="Times New Roman" w:hAnsiTheme="majorHAnsi" w:cstheme="majorHAnsi"/>
          <w:lang w:val="en-IN"/>
        </w:rPr>
        <w:t xml:space="preserve">beyond elementary education </w:t>
      </w:r>
      <w:proofErr w:type="gramStart"/>
      <w:r w:rsidRPr="00C2262D">
        <w:rPr>
          <w:rFonts w:asciiTheme="majorHAnsi" w:eastAsia="Times New Roman" w:hAnsiTheme="majorHAnsi" w:cstheme="majorHAnsi"/>
          <w:lang w:val="en-IN"/>
        </w:rPr>
        <w:t>has to</w:t>
      </w:r>
      <w:proofErr w:type="gramEnd"/>
      <w:r w:rsidRPr="00C2262D">
        <w:rPr>
          <w:rFonts w:asciiTheme="majorHAnsi" w:eastAsia="Times New Roman" w:hAnsiTheme="majorHAnsi" w:cstheme="majorHAnsi"/>
          <w:lang w:val="en-IN"/>
        </w:rPr>
        <w:t xml:space="preserve"> be recognized in law and policy. Only then is justice rendered to children as the State’s commitment enabling them to live with dignity and freedom.</w:t>
      </w:r>
      <w:r w:rsidRPr="00C2262D">
        <w:rPr>
          <w:rFonts w:asciiTheme="majorHAnsi" w:eastAsia="Times New Roman" w:hAnsiTheme="majorHAnsi" w:cstheme="majorHAnsi"/>
          <w:vertAlign w:val="superscript"/>
          <w:lang w:val="en-IN"/>
        </w:rPr>
        <w:endnoteReference w:id="4"/>
      </w:r>
    </w:p>
    <w:p w14:paraId="431AF8C7" w14:textId="77777777" w:rsidR="00C2262D" w:rsidRPr="00C2262D" w:rsidRDefault="00C2262D" w:rsidP="00C2262D">
      <w:pPr>
        <w:spacing w:after="0" w:line="240" w:lineRule="auto"/>
        <w:jc w:val="both"/>
        <w:rPr>
          <w:rFonts w:asciiTheme="majorHAnsi" w:eastAsia="Times New Roman" w:hAnsiTheme="majorHAnsi" w:cstheme="majorHAnsi"/>
          <w:lang w:val="en-IN"/>
        </w:rPr>
      </w:pPr>
    </w:p>
    <w:p w14:paraId="00000011" w14:textId="77777777" w:rsidR="00511C99" w:rsidRPr="00C2262D" w:rsidRDefault="00511C99" w:rsidP="00C2262D">
      <w:pPr>
        <w:spacing w:after="0" w:line="240" w:lineRule="auto"/>
        <w:jc w:val="both"/>
        <w:rPr>
          <w:rFonts w:asciiTheme="majorHAnsi" w:eastAsia="Times New Roman" w:hAnsiTheme="majorHAnsi" w:cstheme="majorHAnsi"/>
          <w:b/>
          <w:lang w:val="en-IN"/>
        </w:rPr>
      </w:pPr>
      <w:r w:rsidRPr="00C2262D">
        <w:rPr>
          <w:rFonts w:asciiTheme="majorHAnsi" w:eastAsia="Times New Roman" w:hAnsiTheme="majorHAnsi" w:cstheme="majorHAnsi"/>
          <w:b/>
          <w:lang w:val="en-IN"/>
        </w:rPr>
        <w:t xml:space="preserve">3.  Early marriage does not cause high fertility rates. </w:t>
      </w:r>
    </w:p>
    <w:p w14:paraId="00000012" w14:textId="7CC6CDB8" w:rsidR="00511C99" w:rsidRPr="00C2262D" w:rsidRDefault="00511C99" w:rsidP="00C2262D">
      <w:pP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 xml:space="preserve">Fertility rates have also seen a very impressive decline in recent years, even going beyond what demographers had predicted.  </w:t>
      </w:r>
      <w:r w:rsidR="00F72FF2" w:rsidRPr="00C2262D">
        <w:rPr>
          <w:rFonts w:asciiTheme="majorHAnsi" w:eastAsia="Times New Roman" w:hAnsiTheme="majorHAnsi" w:cstheme="majorHAnsi"/>
          <w:b/>
          <w:bCs/>
          <w:lang w:val="en-IN"/>
        </w:rPr>
        <w:t>From NFHS 3 to NFHS 4 the proportion of teenage pregnancies has halved.</w:t>
      </w:r>
      <w:r w:rsidR="00F72FF2" w:rsidRPr="00C2262D">
        <w:rPr>
          <w:rFonts w:asciiTheme="majorHAnsi" w:eastAsia="Times New Roman" w:hAnsiTheme="majorHAnsi" w:cstheme="majorHAnsi"/>
          <w:lang w:val="en-IN"/>
        </w:rPr>
        <w:t xml:space="preserve"> </w:t>
      </w:r>
      <w:r w:rsidRPr="00C2262D">
        <w:rPr>
          <w:rFonts w:asciiTheme="majorHAnsi" w:eastAsia="Times New Roman" w:hAnsiTheme="majorHAnsi" w:cstheme="majorHAnsi"/>
          <w:lang w:val="en-IN"/>
        </w:rPr>
        <w:t xml:space="preserve">In over 13 states the fertility rates have dropped to below replacement levels, and this includes states like West Bengal and </w:t>
      </w:r>
      <w:proofErr w:type="spellStart"/>
      <w:r w:rsidRPr="00C2262D">
        <w:rPr>
          <w:rFonts w:asciiTheme="majorHAnsi" w:eastAsia="Times New Roman" w:hAnsiTheme="majorHAnsi" w:cstheme="majorHAnsi"/>
          <w:lang w:val="en-IN"/>
        </w:rPr>
        <w:t>Telengana</w:t>
      </w:r>
      <w:proofErr w:type="spellEnd"/>
      <w:r w:rsidRPr="00C2262D">
        <w:rPr>
          <w:rFonts w:asciiTheme="majorHAnsi" w:eastAsia="Times New Roman" w:hAnsiTheme="majorHAnsi" w:cstheme="majorHAnsi"/>
          <w:lang w:val="en-IN"/>
        </w:rPr>
        <w:t xml:space="preserve"> which are among the highest prevalence states in India for child marriage.  The only state that evinces relatively higher rates of fertility in the country is Bihar (TFR 3.54</w:t>
      </w:r>
      <w:proofErr w:type="gramStart"/>
      <w:r w:rsidRPr="00C2262D">
        <w:rPr>
          <w:rFonts w:asciiTheme="majorHAnsi" w:eastAsia="Times New Roman" w:hAnsiTheme="majorHAnsi" w:cstheme="majorHAnsi"/>
          <w:lang w:val="en-IN"/>
        </w:rPr>
        <w:t>), and</w:t>
      </w:r>
      <w:proofErr w:type="gramEnd"/>
      <w:r w:rsidRPr="00C2262D">
        <w:rPr>
          <w:rFonts w:asciiTheme="majorHAnsi" w:eastAsia="Times New Roman" w:hAnsiTheme="majorHAnsi" w:cstheme="majorHAnsi"/>
          <w:lang w:val="en-IN"/>
        </w:rPr>
        <w:t xml:space="preserve"> is in the nature of an outlier.  </w:t>
      </w:r>
      <w:r w:rsidRPr="00C2262D">
        <w:rPr>
          <w:rFonts w:asciiTheme="majorHAnsi" w:eastAsia="Times New Roman" w:hAnsiTheme="majorHAnsi" w:cstheme="majorHAnsi"/>
          <w:b/>
          <w:lang w:val="en-IN"/>
        </w:rPr>
        <w:t>In other words, with this exception, all families, even those from poorer backgrounds and who are marrying early are having small families</w:t>
      </w:r>
      <w:r w:rsidRPr="00C2262D">
        <w:rPr>
          <w:rFonts w:asciiTheme="majorHAnsi" w:eastAsia="Times New Roman" w:hAnsiTheme="majorHAnsi" w:cstheme="majorHAnsi"/>
          <w:lang w:val="en-IN"/>
        </w:rPr>
        <w:t>.  This can also be fully corroborated from micro studies.</w:t>
      </w:r>
    </w:p>
    <w:p w14:paraId="71CF0D78" w14:textId="77777777" w:rsidR="00C2262D" w:rsidRPr="00C2262D" w:rsidRDefault="00C2262D" w:rsidP="00C2262D">
      <w:pPr>
        <w:spacing w:after="0" w:line="240" w:lineRule="auto"/>
        <w:jc w:val="both"/>
        <w:rPr>
          <w:rFonts w:asciiTheme="majorHAnsi" w:eastAsia="Times New Roman" w:hAnsiTheme="majorHAnsi" w:cstheme="majorHAnsi"/>
          <w:lang w:val="en-IN"/>
        </w:rPr>
      </w:pPr>
    </w:p>
    <w:p w14:paraId="00000013" w14:textId="0D699EA5" w:rsidR="00511C99" w:rsidRPr="00C2262D" w:rsidRDefault="00511C99" w:rsidP="00C2262D">
      <w:pPr>
        <w:spacing w:after="0" w:line="240" w:lineRule="auto"/>
        <w:jc w:val="both"/>
        <w:rPr>
          <w:rFonts w:asciiTheme="majorHAnsi" w:eastAsia="Times New Roman" w:hAnsiTheme="majorHAnsi" w:cstheme="majorHAnsi"/>
          <w:b/>
          <w:lang w:val="en-IN"/>
        </w:rPr>
      </w:pPr>
      <w:r w:rsidRPr="00C2262D">
        <w:rPr>
          <w:rFonts w:asciiTheme="majorHAnsi" w:eastAsia="Times New Roman" w:hAnsiTheme="majorHAnsi" w:cstheme="majorHAnsi"/>
          <w:b/>
          <w:lang w:val="en-IN"/>
        </w:rPr>
        <w:t xml:space="preserve">4.  Poverty – not early marriage – </w:t>
      </w:r>
      <w:r w:rsidR="00BC102F" w:rsidRPr="00C2262D">
        <w:rPr>
          <w:rFonts w:asciiTheme="majorHAnsi" w:eastAsia="Times New Roman" w:hAnsiTheme="majorHAnsi" w:cstheme="majorHAnsi"/>
          <w:b/>
          <w:lang w:val="en-IN"/>
        </w:rPr>
        <w:t xml:space="preserve">is the main </w:t>
      </w:r>
      <w:r w:rsidRPr="00C2262D">
        <w:rPr>
          <w:rFonts w:asciiTheme="majorHAnsi" w:eastAsia="Times New Roman" w:hAnsiTheme="majorHAnsi" w:cstheme="majorHAnsi"/>
          <w:b/>
          <w:lang w:val="en-IN"/>
        </w:rPr>
        <w:t>cause</w:t>
      </w:r>
      <w:r w:rsidR="00BC102F" w:rsidRPr="00C2262D">
        <w:rPr>
          <w:rFonts w:asciiTheme="majorHAnsi" w:eastAsia="Times New Roman" w:hAnsiTheme="majorHAnsi" w:cstheme="majorHAnsi"/>
          <w:b/>
          <w:lang w:val="en-IN"/>
        </w:rPr>
        <w:t xml:space="preserve"> of</w:t>
      </w:r>
      <w:r w:rsidRPr="00C2262D">
        <w:rPr>
          <w:rFonts w:asciiTheme="majorHAnsi" w:eastAsia="Times New Roman" w:hAnsiTheme="majorHAnsi" w:cstheme="majorHAnsi"/>
          <w:b/>
          <w:lang w:val="en-IN"/>
        </w:rPr>
        <w:t xml:space="preserve"> the ill health of mothers and their children.  </w:t>
      </w:r>
    </w:p>
    <w:p w14:paraId="00000014" w14:textId="7FA657D8" w:rsidR="00511C99" w:rsidRPr="00C2262D" w:rsidRDefault="00511C99" w:rsidP="00C2262D">
      <w:pPr>
        <w:shd w:val="clear" w:color="auto" w:fill="FFFFFF"/>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 xml:space="preserve">One of the most important questions for this Task Force is to examine closely the factors that are responsible for malnourishment and anaemia of mothers, and factors like stunting and underweight among children.  When correlations are established between greater health risks to mother and child at younger ages of marriage, this needs to be understood carefully.  </w:t>
      </w:r>
      <w:proofErr w:type="gramStart"/>
      <w:r w:rsidRPr="00C2262D">
        <w:rPr>
          <w:rFonts w:asciiTheme="majorHAnsi" w:eastAsia="Times New Roman" w:hAnsiTheme="majorHAnsi" w:cstheme="majorHAnsi"/>
          <w:lang w:val="en-IN"/>
        </w:rPr>
        <w:t>First of all</w:t>
      </w:r>
      <w:proofErr w:type="gramEnd"/>
      <w:r w:rsidRPr="00C2262D">
        <w:rPr>
          <w:rFonts w:asciiTheme="majorHAnsi" w:eastAsia="Times New Roman" w:hAnsiTheme="majorHAnsi" w:cstheme="majorHAnsi"/>
          <w:lang w:val="en-IN"/>
        </w:rPr>
        <w:t>, the age of 18 years has been scientifically determined to be the age at which most women’s reproductive system</w:t>
      </w:r>
      <w:r w:rsidR="00B95161" w:rsidRPr="00C2262D">
        <w:rPr>
          <w:rFonts w:asciiTheme="majorHAnsi" w:eastAsia="Times New Roman" w:hAnsiTheme="majorHAnsi" w:cstheme="majorHAnsi"/>
          <w:lang w:val="en-IN"/>
        </w:rPr>
        <w:t>s are</w:t>
      </w:r>
      <w:r w:rsidRPr="00C2262D">
        <w:rPr>
          <w:rFonts w:asciiTheme="majorHAnsi" w:eastAsia="Times New Roman" w:hAnsiTheme="majorHAnsi" w:cstheme="majorHAnsi"/>
          <w:lang w:val="en-IN"/>
        </w:rPr>
        <w:t xml:space="preserve"> fully developed.  Healthy women at this age with adequate pre-natal care can be expected to give birth to healthy babies.  However, countries like India are highly unequal, with widespread malnourishment among women, and poor access to health care in several regions.  Early marriage predominates among the poorer and more marginalized communities, while women from wealthier backgrounds marry at higher ages.  </w:t>
      </w:r>
      <w:proofErr w:type="gramStart"/>
      <w:r w:rsidRPr="00C2262D">
        <w:rPr>
          <w:rFonts w:asciiTheme="majorHAnsi" w:eastAsia="Times New Roman" w:hAnsiTheme="majorHAnsi" w:cstheme="majorHAnsi"/>
          <w:lang w:val="en-IN"/>
        </w:rPr>
        <w:t>Therefore</w:t>
      </w:r>
      <w:proofErr w:type="gramEnd"/>
      <w:r w:rsidRPr="00C2262D">
        <w:rPr>
          <w:rFonts w:asciiTheme="majorHAnsi" w:eastAsia="Times New Roman" w:hAnsiTheme="majorHAnsi" w:cstheme="majorHAnsi"/>
          <w:lang w:val="en-IN"/>
        </w:rPr>
        <w:t xml:space="preserve"> statistically speaking, if only age at marriage is looked at in relation to the health indicators of mother and child, one forgets that poorer women are over represented at younger ages.  </w:t>
      </w:r>
      <w:r w:rsidR="00B95161" w:rsidRPr="00C2262D">
        <w:rPr>
          <w:rFonts w:asciiTheme="majorHAnsi" w:eastAsia="Times New Roman" w:hAnsiTheme="majorHAnsi" w:cstheme="majorHAnsi"/>
          <w:lang w:val="en-IN"/>
        </w:rPr>
        <w:t xml:space="preserve">When analysed, </w:t>
      </w:r>
      <w:r w:rsidRPr="00C2262D">
        <w:rPr>
          <w:rFonts w:asciiTheme="majorHAnsi" w:eastAsia="Times New Roman" w:hAnsiTheme="majorHAnsi" w:cstheme="majorHAnsi"/>
          <w:lang w:val="en-IN"/>
        </w:rPr>
        <w:t>NFHS 4 data shows quite clearly that once different factors are disaggregated (such as age, poverty, educational attainment and so on) it is poverty that is playing an overwhelming role in the health of mothers (even at higher ages of marriage such as 21 years) and much more so than mere age.  Age is the least significant factor and poverty the greatest. In a Lancet study</w:t>
      </w:r>
      <w:r w:rsidR="00B95161" w:rsidRPr="00C2262D">
        <w:rPr>
          <w:rStyle w:val="EndnoteReference"/>
          <w:rFonts w:asciiTheme="majorHAnsi" w:eastAsia="Times New Roman" w:hAnsiTheme="majorHAnsi" w:cstheme="majorHAnsi"/>
          <w:lang w:val="en-IN"/>
        </w:rPr>
        <w:endnoteReference w:id="5"/>
      </w:r>
      <w:r w:rsidR="00B95161" w:rsidRPr="00C2262D">
        <w:rPr>
          <w:rFonts w:asciiTheme="majorHAnsi" w:eastAsia="Times New Roman" w:hAnsiTheme="majorHAnsi" w:cstheme="majorHAnsi"/>
          <w:vertAlign w:val="superscript"/>
          <w:lang w:val="en-IN"/>
        </w:rPr>
        <w:t xml:space="preserve"> </w:t>
      </w:r>
      <w:r w:rsidRPr="00C2262D">
        <w:rPr>
          <w:rFonts w:asciiTheme="majorHAnsi" w:eastAsia="Times New Roman" w:hAnsiTheme="majorHAnsi" w:cstheme="majorHAnsi"/>
          <w:lang w:val="en-IN"/>
        </w:rPr>
        <w:t xml:space="preserve">of 144 countries, authors note that the existing evidence of increased risk of death during pregnancy or childbirth among adolescent girls is inconsistent and contradictory. Rather, maternal mortality ratio among adolescents is low compared with women older than 30 years. </w:t>
      </w:r>
    </w:p>
    <w:p w14:paraId="00000015" w14:textId="77777777" w:rsidR="00511C99" w:rsidRPr="00C2262D" w:rsidRDefault="00511C99" w:rsidP="00C2262D">
      <w:pPr>
        <w:spacing w:after="0" w:line="240" w:lineRule="auto"/>
        <w:jc w:val="both"/>
        <w:rPr>
          <w:rFonts w:asciiTheme="majorHAnsi" w:eastAsia="Times New Roman" w:hAnsiTheme="majorHAnsi" w:cstheme="majorHAnsi"/>
          <w:lang w:val="en-IN"/>
        </w:rPr>
      </w:pPr>
    </w:p>
    <w:p w14:paraId="00000016" w14:textId="1E9B4AE7" w:rsidR="00511C99" w:rsidRPr="00C2262D" w:rsidRDefault="00511C99" w:rsidP="00C2262D">
      <w:pP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b/>
          <w:lang w:val="en-IN"/>
        </w:rPr>
        <w:lastRenderedPageBreak/>
        <w:t xml:space="preserve">Hence the most important approach to changing the future of adolescents and young women for a more gender equal and empowered future is to bring them out of the poverty trap.  </w:t>
      </w:r>
      <w:r w:rsidRPr="00C2262D">
        <w:rPr>
          <w:rFonts w:asciiTheme="majorHAnsi" w:eastAsia="Times New Roman" w:hAnsiTheme="majorHAnsi" w:cstheme="majorHAnsi"/>
          <w:lang w:val="en-IN"/>
        </w:rPr>
        <w:t xml:space="preserve">This can be achieved through the combination of education (higher secondary to higher education) along with meaningful employment opportunities.  Only from such a position can girls negotiate their marriages, their family </w:t>
      </w:r>
      <w:proofErr w:type="gramStart"/>
      <w:r w:rsidRPr="00C2262D">
        <w:rPr>
          <w:rFonts w:asciiTheme="majorHAnsi" w:eastAsia="Times New Roman" w:hAnsiTheme="majorHAnsi" w:cstheme="majorHAnsi"/>
          <w:lang w:val="en-IN"/>
        </w:rPr>
        <w:t>life</w:t>
      </w:r>
      <w:proofErr w:type="gramEnd"/>
      <w:r w:rsidRPr="00C2262D">
        <w:rPr>
          <w:rFonts w:asciiTheme="majorHAnsi" w:eastAsia="Times New Roman" w:hAnsiTheme="majorHAnsi" w:cstheme="majorHAnsi"/>
          <w:lang w:val="en-IN"/>
        </w:rPr>
        <w:t xml:space="preserve"> and the health of their future children.   This is the </w:t>
      </w:r>
      <w:proofErr w:type="gramStart"/>
      <w:r w:rsidRPr="00C2262D">
        <w:rPr>
          <w:rFonts w:asciiTheme="majorHAnsi" w:eastAsia="Times New Roman" w:hAnsiTheme="majorHAnsi" w:cstheme="majorHAnsi"/>
          <w:lang w:val="en-IN"/>
        </w:rPr>
        <w:t>challenge</w:t>
      </w:r>
      <w:proofErr w:type="gramEnd"/>
      <w:r w:rsidRPr="00C2262D">
        <w:rPr>
          <w:rFonts w:asciiTheme="majorHAnsi" w:eastAsia="Times New Roman" w:hAnsiTheme="majorHAnsi" w:cstheme="majorHAnsi"/>
          <w:lang w:val="en-IN"/>
        </w:rPr>
        <w:t xml:space="preserve"> and it is a massive one in the current context of declining employment opportunities for women, especially in rural areas (This can be </w:t>
      </w:r>
      <w:r w:rsidR="00533F3E" w:rsidRPr="00C2262D">
        <w:rPr>
          <w:rFonts w:asciiTheme="majorHAnsi" w:eastAsia="Times New Roman" w:hAnsiTheme="majorHAnsi" w:cstheme="majorHAnsi"/>
          <w:lang w:val="en-IN"/>
        </w:rPr>
        <w:t xml:space="preserve">illustrated </w:t>
      </w:r>
      <w:r w:rsidRPr="00C2262D">
        <w:rPr>
          <w:rFonts w:asciiTheme="majorHAnsi" w:eastAsia="Times New Roman" w:hAnsiTheme="majorHAnsi" w:cstheme="majorHAnsi"/>
          <w:lang w:val="en-IN"/>
        </w:rPr>
        <w:t>with the help of National Sample Survey data).</w:t>
      </w:r>
    </w:p>
    <w:p w14:paraId="15327983" w14:textId="77777777" w:rsidR="00C2262D" w:rsidRPr="00C2262D" w:rsidRDefault="00C2262D" w:rsidP="00C2262D">
      <w:pPr>
        <w:spacing w:after="0" w:line="240" w:lineRule="auto"/>
        <w:jc w:val="both"/>
        <w:rPr>
          <w:rFonts w:asciiTheme="majorHAnsi" w:eastAsia="Times New Roman" w:hAnsiTheme="majorHAnsi" w:cstheme="majorHAnsi"/>
          <w:b/>
          <w:lang w:val="en-IN"/>
        </w:rPr>
      </w:pPr>
    </w:p>
    <w:p w14:paraId="00000018" w14:textId="0F178ABF" w:rsidR="00511C99" w:rsidRPr="00C2262D" w:rsidRDefault="00511C99" w:rsidP="00C2262D">
      <w:pPr>
        <w:spacing w:after="0" w:line="240" w:lineRule="auto"/>
        <w:jc w:val="both"/>
        <w:rPr>
          <w:rFonts w:asciiTheme="majorHAnsi" w:eastAsia="Times New Roman" w:hAnsiTheme="majorHAnsi" w:cstheme="majorHAnsi"/>
          <w:b/>
          <w:lang w:val="en-IN"/>
        </w:rPr>
      </w:pPr>
      <w:r w:rsidRPr="00C2262D">
        <w:rPr>
          <w:rFonts w:asciiTheme="majorHAnsi" w:eastAsia="Times New Roman" w:hAnsiTheme="majorHAnsi" w:cstheme="majorHAnsi"/>
          <w:b/>
          <w:lang w:val="en-IN"/>
        </w:rPr>
        <w:t xml:space="preserve">5.  </w:t>
      </w:r>
      <w:r w:rsidR="00533F3E" w:rsidRPr="00C2262D">
        <w:rPr>
          <w:rFonts w:asciiTheme="majorHAnsi" w:eastAsia="Times New Roman" w:hAnsiTheme="majorHAnsi" w:cstheme="majorHAnsi"/>
          <w:b/>
          <w:lang w:val="en-IN"/>
        </w:rPr>
        <w:t>Further r</w:t>
      </w:r>
      <w:r w:rsidRPr="00C2262D">
        <w:rPr>
          <w:rFonts w:asciiTheme="majorHAnsi" w:eastAsia="Times New Roman" w:hAnsiTheme="majorHAnsi" w:cstheme="majorHAnsi"/>
          <w:b/>
          <w:lang w:val="en-IN"/>
        </w:rPr>
        <w:t>aising the age of marriage will only criminalise – not prevent – early marriages.</w:t>
      </w:r>
    </w:p>
    <w:p w14:paraId="00000019" w14:textId="2F4497BA" w:rsidR="00511C99" w:rsidRPr="00C2262D" w:rsidRDefault="00511C99" w:rsidP="00C2262D">
      <w:pP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Studies indicate that the laws enacted for preventing child abuse and child marriage have inflicted considerable unintended harm on young persons, for whose protection they were enacted. Rather than achieve the envisaged goals, increasing the age of marriage for girls to 21 years will only aggravate the vulnerability and harm to young persons. Studies show that it is primarily parents who resort to the law through a combination of remedies under different laws – nullification and punishment under PCMA, for rape and kidnapping under POCSO</w:t>
      </w:r>
      <w:r w:rsidR="00BC102F" w:rsidRPr="00C2262D">
        <w:rPr>
          <w:rStyle w:val="EndnoteReference"/>
          <w:rFonts w:asciiTheme="majorHAnsi" w:eastAsia="Times New Roman" w:hAnsiTheme="majorHAnsi" w:cstheme="majorHAnsi"/>
          <w:lang w:val="en-IN"/>
        </w:rPr>
        <w:endnoteReference w:id="6"/>
      </w:r>
      <w:r w:rsidRPr="00C2262D">
        <w:rPr>
          <w:rFonts w:asciiTheme="majorHAnsi" w:eastAsia="Times New Roman" w:hAnsiTheme="majorHAnsi" w:cstheme="majorHAnsi"/>
          <w:lang w:val="en-IN"/>
        </w:rPr>
        <w:t xml:space="preserve"> and the IPC, as well as recovery of daughter through Habeas Corpus,</w:t>
      </w:r>
      <w:r w:rsidRPr="00C2262D">
        <w:rPr>
          <w:rFonts w:asciiTheme="majorHAnsi" w:eastAsia="Times New Roman" w:hAnsiTheme="majorHAnsi" w:cstheme="majorHAnsi"/>
          <w:vertAlign w:val="superscript"/>
          <w:lang w:val="en-IN"/>
        </w:rPr>
        <w:endnoteReference w:id="7"/>
      </w:r>
      <w:r w:rsidRPr="00C2262D">
        <w:rPr>
          <w:rFonts w:asciiTheme="majorHAnsi" w:eastAsia="Times New Roman" w:hAnsiTheme="majorHAnsi" w:cstheme="majorHAnsi"/>
          <w:lang w:val="en-IN"/>
        </w:rPr>
        <w:t xml:space="preserve"> against self-arranged marriages or elopements.</w:t>
      </w:r>
      <w:r w:rsidRPr="00C2262D">
        <w:rPr>
          <w:rFonts w:asciiTheme="majorHAnsi" w:eastAsia="Times New Roman" w:hAnsiTheme="majorHAnsi" w:cstheme="majorHAnsi"/>
          <w:vertAlign w:val="superscript"/>
          <w:lang w:val="en-IN"/>
        </w:rPr>
        <w:endnoteReference w:id="8"/>
      </w:r>
      <w:r w:rsidRPr="00C2262D">
        <w:rPr>
          <w:rFonts w:asciiTheme="majorHAnsi" w:eastAsia="Times New Roman" w:hAnsiTheme="majorHAnsi" w:cstheme="majorHAnsi"/>
          <w:lang w:val="en-IN"/>
        </w:rPr>
        <w:t xml:space="preserve"> The formal law is largely inaccessible to girls, and risk laden. </w:t>
      </w:r>
    </w:p>
    <w:p w14:paraId="757D7A08" w14:textId="77777777" w:rsidR="00C2262D" w:rsidRPr="00C2262D" w:rsidRDefault="00C2262D" w:rsidP="00C2262D">
      <w:pPr>
        <w:spacing w:after="0" w:line="240" w:lineRule="auto"/>
        <w:jc w:val="both"/>
        <w:rPr>
          <w:rFonts w:asciiTheme="majorHAnsi" w:eastAsia="Times New Roman" w:hAnsiTheme="majorHAnsi" w:cstheme="majorHAnsi"/>
          <w:lang w:val="en-IN"/>
        </w:rPr>
      </w:pPr>
    </w:p>
    <w:p w14:paraId="0000001A" w14:textId="69BF7F56" w:rsidR="00511C99" w:rsidRPr="00C2262D" w:rsidRDefault="00511C99" w:rsidP="00C2262D">
      <w:pP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b/>
          <w:lang w:val="en-IN"/>
        </w:rPr>
        <w:t xml:space="preserve">Law reform is necessary for purposes of reducing the ambit of criminalization and parental retaliation against girls and young couples. </w:t>
      </w:r>
      <w:r w:rsidR="00742C46" w:rsidRPr="00C2262D">
        <w:rPr>
          <w:rFonts w:asciiTheme="majorHAnsi" w:eastAsia="Times New Roman" w:hAnsiTheme="majorHAnsi" w:cstheme="majorHAnsi"/>
          <w:b/>
          <w:lang w:val="en-IN"/>
        </w:rPr>
        <w:t xml:space="preserve"> Legal changes that criminalise</w:t>
      </w:r>
      <w:r w:rsidR="00DD5F23" w:rsidRPr="00C2262D">
        <w:rPr>
          <w:rFonts w:asciiTheme="majorHAnsi" w:eastAsia="Times New Roman" w:hAnsiTheme="majorHAnsi" w:cstheme="majorHAnsi"/>
          <w:b/>
          <w:lang w:val="en-IN"/>
        </w:rPr>
        <w:t xml:space="preserve"> and </w:t>
      </w:r>
      <w:r w:rsidR="00742C46" w:rsidRPr="00C2262D">
        <w:rPr>
          <w:rFonts w:asciiTheme="majorHAnsi" w:eastAsia="Times New Roman" w:hAnsiTheme="majorHAnsi" w:cstheme="majorHAnsi"/>
          <w:b/>
          <w:lang w:val="en-IN"/>
        </w:rPr>
        <w:t xml:space="preserve">dilute legal protections of underage marriages will render girls more vulnerable to harm. </w:t>
      </w:r>
      <w:r w:rsidRPr="00C2262D">
        <w:rPr>
          <w:rFonts w:asciiTheme="majorHAnsi" w:eastAsia="Times New Roman" w:hAnsiTheme="majorHAnsi" w:cstheme="majorHAnsi"/>
          <w:lang w:val="en-IN"/>
        </w:rPr>
        <w:t xml:space="preserve">The age of consent </w:t>
      </w:r>
      <w:proofErr w:type="gramStart"/>
      <w:r w:rsidRPr="00C2262D">
        <w:rPr>
          <w:rFonts w:asciiTheme="majorHAnsi" w:eastAsia="Times New Roman" w:hAnsiTheme="majorHAnsi" w:cstheme="majorHAnsi"/>
          <w:lang w:val="en-IN"/>
        </w:rPr>
        <w:t>has to</w:t>
      </w:r>
      <w:proofErr w:type="gramEnd"/>
      <w:r w:rsidRPr="00C2262D">
        <w:rPr>
          <w:rFonts w:asciiTheme="majorHAnsi" w:eastAsia="Times New Roman" w:hAnsiTheme="majorHAnsi" w:cstheme="majorHAnsi"/>
          <w:lang w:val="en-IN"/>
        </w:rPr>
        <w:t xml:space="preserve"> be</w:t>
      </w:r>
      <w:r w:rsidR="00671703" w:rsidRPr="00C2262D">
        <w:rPr>
          <w:rFonts w:asciiTheme="majorHAnsi" w:eastAsia="Times New Roman" w:hAnsiTheme="majorHAnsi" w:cstheme="majorHAnsi"/>
          <w:lang w:val="en-IN"/>
        </w:rPr>
        <w:t xml:space="preserve"> reconsidered </w:t>
      </w:r>
      <w:r w:rsidRPr="00C2262D">
        <w:rPr>
          <w:rFonts w:asciiTheme="majorHAnsi" w:eastAsia="Times New Roman" w:hAnsiTheme="majorHAnsi" w:cstheme="majorHAnsi"/>
          <w:lang w:val="en-IN"/>
        </w:rPr>
        <w:t>with in-proximity protections to de-criminalise consensual relations between adolescents, in line with the recommendations of the</w:t>
      </w:r>
      <w:r w:rsidR="00671703" w:rsidRPr="00C2262D">
        <w:rPr>
          <w:rFonts w:asciiTheme="majorHAnsi" w:eastAsia="Times New Roman" w:hAnsiTheme="majorHAnsi" w:cstheme="majorHAnsi"/>
          <w:lang w:val="en-IN"/>
        </w:rPr>
        <w:t xml:space="preserve"> Committee on the Rights of the Child</w:t>
      </w:r>
      <w:r w:rsidR="00742C46" w:rsidRPr="00C2262D">
        <w:rPr>
          <w:rFonts w:asciiTheme="majorHAnsi" w:eastAsia="Times New Roman" w:hAnsiTheme="majorHAnsi" w:cstheme="majorHAnsi"/>
          <w:lang w:val="en-IN"/>
        </w:rPr>
        <w:t xml:space="preserve"> concerning adolescence</w:t>
      </w:r>
      <w:r w:rsidR="00671703" w:rsidRPr="00C2262D">
        <w:rPr>
          <w:rStyle w:val="EndnoteReference"/>
          <w:rFonts w:asciiTheme="majorHAnsi" w:eastAsia="Times New Roman" w:hAnsiTheme="majorHAnsi" w:cstheme="majorHAnsi"/>
          <w:lang w:val="en-IN"/>
        </w:rPr>
        <w:endnoteReference w:id="9"/>
      </w:r>
      <w:r w:rsidR="00671703" w:rsidRPr="00C2262D">
        <w:rPr>
          <w:rFonts w:asciiTheme="majorHAnsi" w:eastAsia="Times New Roman" w:hAnsiTheme="majorHAnsi" w:cstheme="majorHAnsi"/>
          <w:lang w:val="en-IN"/>
        </w:rPr>
        <w:t>.</w:t>
      </w:r>
      <w:r w:rsidR="00DD5F23" w:rsidRPr="00C2262D">
        <w:rPr>
          <w:rFonts w:asciiTheme="majorHAnsi" w:eastAsia="Times New Roman" w:hAnsiTheme="majorHAnsi" w:cstheme="majorHAnsi"/>
          <w:lang w:val="en-IN"/>
        </w:rPr>
        <w:t xml:space="preserve"> </w:t>
      </w:r>
      <w:r w:rsidRPr="00C2262D">
        <w:rPr>
          <w:rFonts w:asciiTheme="majorHAnsi" w:eastAsia="Times New Roman" w:hAnsiTheme="majorHAnsi" w:cstheme="majorHAnsi"/>
          <w:lang w:val="en-IN"/>
        </w:rPr>
        <w:t xml:space="preserve"> Further, the minimum age of marriage should remain at 18 years, and with it, the provision that allows the underage party to marriage to decide </w:t>
      </w:r>
      <w:proofErr w:type="gramStart"/>
      <w:r w:rsidRPr="00C2262D">
        <w:rPr>
          <w:rFonts w:asciiTheme="majorHAnsi" w:eastAsia="Times New Roman" w:hAnsiTheme="majorHAnsi" w:cstheme="majorHAnsi"/>
          <w:lang w:val="en-IN"/>
        </w:rPr>
        <w:t>whether or not</w:t>
      </w:r>
      <w:proofErr w:type="gramEnd"/>
      <w:r w:rsidRPr="00C2262D">
        <w:rPr>
          <w:rFonts w:asciiTheme="majorHAnsi" w:eastAsia="Times New Roman" w:hAnsiTheme="majorHAnsi" w:cstheme="majorHAnsi"/>
          <w:lang w:val="en-IN"/>
        </w:rPr>
        <w:t xml:space="preserve"> to opt out of marriage. Such law reform would be consistent with the highest international standards as set out in the CRC, the CEDAW, and the ICCPR which India has ratified – which stipulate the right to marry, recognize adolescent capacities and rights to age appropriate SRHR information and services, and forbids criminalization of consensual behaviours.</w:t>
      </w:r>
    </w:p>
    <w:p w14:paraId="7284FEF3" w14:textId="77777777" w:rsidR="00C2262D" w:rsidRPr="00C2262D" w:rsidRDefault="00C2262D" w:rsidP="00C2262D">
      <w:pPr>
        <w:spacing w:after="0" w:line="240" w:lineRule="auto"/>
        <w:jc w:val="both"/>
        <w:rPr>
          <w:rFonts w:asciiTheme="majorHAnsi" w:eastAsia="Times New Roman" w:hAnsiTheme="majorHAnsi" w:cstheme="majorHAnsi"/>
          <w:lang w:val="en-IN"/>
        </w:rPr>
      </w:pPr>
    </w:p>
    <w:p w14:paraId="0000001B" w14:textId="696EB6CA" w:rsidR="00511C99" w:rsidRPr="00C2262D" w:rsidRDefault="00D17243" w:rsidP="00C2262D">
      <w:pP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The i</w:t>
      </w:r>
      <w:r w:rsidR="00511C99" w:rsidRPr="00C2262D">
        <w:rPr>
          <w:rFonts w:asciiTheme="majorHAnsi" w:eastAsia="Times New Roman" w:hAnsiTheme="majorHAnsi" w:cstheme="majorHAnsi"/>
          <w:lang w:val="en-IN"/>
        </w:rPr>
        <w:t>mplementation of programmes on the ground to prevent child marriage</w:t>
      </w:r>
      <w:r w:rsidRPr="00C2262D">
        <w:rPr>
          <w:rFonts w:asciiTheme="majorHAnsi" w:eastAsia="Times New Roman" w:hAnsiTheme="majorHAnsi" w:cstheme="majorHAnsi"/>
          <w:lang w:val="en-IN"/>
        </w:rPr>
        <w:t xml:space="preserve"> </w:t>
      </w:r>
      <w:r w:rsidR="00511C99" w:rsidRPr="00C2262D">
        <w:rPr>
          <w:rFonts w:asciiTheme="majorHAnsi" w:eastAsia="Times New Roman" w:hAnsiTheme="majorHAnsi" w:cstheme="majorHAnsi"/>
          <w:lang w:val="en-IN"/>
        </w:rPr>
        <w:t xml:space="preserve">clearly show that it is </w:t>
      </w:r>
      <w:proofErr w:type="gramStart"/>
      <w:r w:rsidR="00511C99" w:rsidRPr="00C2262D">
        <w:rPr>
          <w:rFonts w:asciiTheme="majorHAnsi" w:eastAsia="Times New Roman" w:hAnsiTheme="majorHAnsi" w:cstheme="majorHAnsi"/>
          <w:lang w:val="en-IN"/>
        </w:rPr>
        <w:t>when  there</w:t>
      </w:r>
      <w:proofErr w:type="gramEnd"/>
      <w:r w:rsidR="00511C99" w:rsidRPr="00C2262D">
        <w:rPr>
          <w:rFonts w:asciiTheme="majorHAnsi" w:eastAsia="Times New Roman" w:hAnsiTheme="majorHAnsi" w:cstheme="majorHAnsi"/>
          <w:lang w:val="en-IN"/>
        </w:rPr>
        <w:t xml:space="preserve"> is awareness of law, which girls can use to negotiate the continuation of education and delaying of marriage, combined with the availability of support services for them (accessible and affordable education, health services, supportive family and communities, opportunities for employment after education) that marriages  are either stopped or delayed. </w:t>
      </w:r>
      <w:r w:rsidR="00511C99" w:rsidRPr="00C2262D">
        <w:rPr>
          <w:rFonts w:asciiTheme="majorHAnsi" w:eastAsia="Times New Roman" w:hAnsiTheme="majorHAnsi" w:cstheme="majorHAnsi"/>
          <w:vertAlign w:val="superscript"/>
          <w:lang w:val="en-IN"/>
        </w:rPr>
        <w:endnoteReference w:id="10"/>
      </w:r>
    </w:p>
    <w:p w14:paraId="0000001C" w14:textId="77777777" w:rsidR="00511C99" w:rsidRPr="00C2262D" w:rsidRDefault="00511C99" w:rsidP="00C2262D">
      <w:pPr>
        <w:spacing w:after="0" w:line="240" w:lineRule="auto"/>
        <w:jc w:val="both"/>
        <w:rPr>
          <w:rFonts w:asciiTheme="majorHAnsi" w:eastAsia="Times New Roman" w:hAnsiTheme="majorHAnsi" w:cstheme="majorHAnsi"/>
          <w:b/>
          <w:lang w:val="en-IN"/>
        </w:rPr>
      </w:pPr>
    </w:p>
    <w:p w14:paraId="0000001D" w14:textId="77777777" w:rsidR="00511C99" w:rsidRPr="00C2262D" w:rsidRDefault="00511C99" w:rsidP="00C2262D">
      <w:pPr>
        <w:spacing w:after="0" w:line="240" w:lineRule="auto"/>
        <w:jc w:val="both"/>
        <w:rPr>
          <w:rFonts w:asciiTheme="majorHAnsi" w:eastAsia="Times New Roman" w:hAnsiTheme="majorHAnsi" w:cstheme="majorHAnsi"/>
          <w:b/>
          <w:lang w:val="en-IN"/>
        </w:rPr>
      </w:pPr>
      <w:r w:rsidRPr="00C2262D">
        <w:rPr>
          <w:rFonts w:asciiTheme="majorHAnsi" w:eastAsia="Times New Roman" w:hAnsiTheme="majorHAnsi" w:cstheme="majorHAnsi"/>
          <w:b/>
          <w:lang w:val="en-IN"/>
        </w:rPr>
        <w:t xml:space="preserve">6.  Other policies are far more relevant for helping to prevent early marriages. </w:t>
      </w:r>
    </w:p>
    <w:p w14:paraId="0000001E" w14:textId="77777777" w:rsidR="00511C99" w:rsidRPr="00C2262D" w:rsidRDefault="00511C99" w:rsidP="00C2262D">
      <w:pP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 xml:space="preserve">We believe that there are many other productive routes for the state to consider </w:t>
      </w:r>
      <w:proofErr w:type="gramStart"/>
      <w:r w:rsidRPr="00C2262D">
        <w:rPr>
          <w:rFonts w:asciiTheme="majorHAnsi" w:eastAsia="Times New Roman" w:hAnsiTheme="majorHAnsi" w:cstheme="majorHAnsi"/>
          <w:lang w:val="en-IN"/>
        </w:rPr>
        <w:t>in order to</w:t>
      </w:r>
      <w:proofErr w:type="gramEnd"/>
      <w:r w:rsidRPr="00C2262D">
        <w:rPr>
          <w:rFonts w:asciiTheme="majorHAnsi" w:eastAsia="Times New Roman" w:hAnsiTheme="majorHAnsi" w:cstheme="majorHAnsi"/>
          <w:lang w:val="en-IN"/>
        </w:rPr>
        <w:t xml:space="preserve"> strengthen and empower young women, but not via the legal route of criminalization.</w:t>
      </w:r>
    </w:p>
    <w:p w14:paraId="0000001F" w14:textId="77777777" w:rsidR="00511C99" w:rsidRPr="00C2262D" w:rsidRDefault="00511C99" w:rsidP="00C2262D">
      <w:pP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 xml:space="preserve">Much better policies are needed than the ones on offer today, such as the Conditional Cash Transfer Schemes of </w:t>
      </w:r>
      <w:proofErr w:type="spellStart"/>
      <w:r w:rsidRPr="00C2262D">
        <w:rPr>
          <w:rFonts w:asciiTheme="majorHAnsi" w:eastAsia="Times New Roman" w:hAnsiTheme="majorHAnsi" w:cstheme="majorHAnsi"/>
          <w:lang w:val="en-IN"/>
        </w:rPr>
        <w:t>Kanyasree</w:t>
      </w:r>
      <w:proofErr w:type="spellEnd"/>
      <w:r w:rsidRPr="00C2262D">
        <w:rPr>
          <w:rFonts w:asciiTheme="majorHAnsi" w:eastAsia="Times New Roman" w:hAnsiTheme="majorHAnsi" w:cstheme="majorHAnsi"/>
          <w:lang w:val="en-IN"/>
        </w:rPr>
        <w:t xml:space="preserve">, </w:t>
      </w:r>
      <w:proofErr w:type="spellStart"/>
      <w:r w:rsidRPr="00C2262D">
        <w:rPr>
          <w:rFonts w:asciiTheme="majorHAnsi" w:eastAsia="Times New Roman" w:hAnsiTheme="majorHAnsi" w:cstheme="majorHAnsi"/>
          <w:lang w:val="en-IN"/>
        </w:rPr>
        <w:t>Rajsree</w:t>
      </w:r>
      <w:proofErr w:type="spellEnd"/>
      <w:r w:rsidRPr="00C2262D">
        <w:rPr>
          <w:rFonts w:asciiTheme="majorHAnsi" w:eastAsia="Times New Roman" w:hAnsiTheme="majorHAnsi" w:cstheme="majorHAnsi"/>
          <w:lang w:val="en-IN"/>
        </w:rPr>
        <w:t>, Shaadi Mubarak and so on, which are known colloquially as “</w:t>
      </w:r>
      <w:proofErr w:type="spellStart"/>
      <w:r w:rsidRPr="00C2262D">
        <w:rPr>
          <w:rFonts w:asciiTheme="majorHAnsi" w:eastAsia="Times New Roman" w:hAnsiTheme="majorHAnsi" w:cstheme="majorHAnsi"/>
          <w:lang w:val="en-IN"/>
        </w:rPr>
        <w:t>dahej</w:t>
      </w:r>
      <w:proofErr w:type="spellEnd"/>
      <w:r w:rsidRPr="00C2262D">
        <w:rPr>
          <w:rFonts w:asciiTheme="majorHAnsi" w:eastAsia="Times New Roman" w:hAnsiTheme="majorHAnsi" w:cstheme="majorHAnsi"/>
          <w:lang w:val="en-IN"/>
        </w:rPr>
        <w:t xml:space="preserve"> schemes” and basically encourage girls to marry at 18 years.  There are many studies that have pointed out the problems with these schemes</w:t>
      </w:r>
      <w:r w:rsidRPr="00C2262D">
        <w:rPr>
          <w:rFonts w:asciiTheme="majorHAnsi" w:eastAsia="Times New Roman" w:hAnsiTheme="majorHAnsi" w:cstheme="majorHAnsi"/>
          <w:b/>
          <w:lang w:val="en-IN"/>
        </w:rPr>
        <w:t xml:space="preserve">. </w:t>
      </w:r>
      <w:r w:rsidRPr="00C2262D">
        <w:rPr>
          <w:rFonts w:asciiTheme="majorHAnsi" w:eastAsia="Times New Roman" w:hAnsiTheme="majorHAnsi" w:cstheme="majorHAnsi"/>
          <w:lang w:val="en-IN"/>
        </w:rPr>
        <w:t>They reinforce the sense of burden represented by daughters who must be married off at 18 years, rather than encouraging girls to study further.</w:t>
      </w:r>
      <w:r w:rsidRPr="00C2262D">
        <w:rPr>
          <w:rFonts w:asciiTheme="majorHAnsi" w:eastAsia="Times New Roman" w:hAnsiTheme="majorHAnsi" w:cstheme="majorHAnsi"/>
          <w:vertAlign w:val="superscript"/>
          <w:lang w:val="en-IN"/>
        </w:rPr>
        <w:endnoteReference w:id="11"/>
      </w:r>
    </w:p>
    <w:p w14:paraId="00000020" w14:textId="7335A204" w:rsidR="00511C99" w:rsidRDefault="00511C99" w:rsidP="00C2262D">
      <w:pP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Instead consider policies that would directly help girls stay in school and give their parents hope of jobs after leaving school or college.  Make education for girls free all the way to higher education, especially from marginalised backgrounds, with preferences in government jobs.</w:t>
      </w:r>
    </w:p>
    <w:p w14:paraId="6B956976" w14:textId="77777777" w:rsidR="00C2262D" w:rsidRPr="00C2262D" w:rsidRDefault="00C2262D" w:rsidP="00C2262D">
      <w:pPr>
        <w:spacing w:after="0" w:line="240" w:lineRule="auto"/>
        <w:jc w:val="both"/>
        <w:rPr>
          <w:rFonts w:asciiTheme="majorHAnsi" w:eastAsia="Times New Roman" w:hAnsiTheme="majorHAnsi" w:cstheme="majorHAnsi"/>
          <w:lang w:val="en-IN"/>
        </w:rPr>
      </w:pPr>
    </w:p>
    <w:p w14:paraId="00000021" w14:textId="77777777" w:rsidR="00511C99" w:rsidRPr="00C2262D" w:rsidRDefault="00511C99" w:rsidP="00C2262D">
      <w:pPr>
        <w:spacing w:after="0" w:line="240" w:lineRule="auto"/>
        <w:jc w:val="both"/>
        <w:rPr>
          <w:rFonts w:asciiTheme="majorHAnsi" w:eastAsia="Times New Roman" w:hAnsiTheme="majorHAnsi" w:cstheme="majorHAnsi"/>
          <w:lang w:val="en-IN"/>
        </w:rPr>
      </w:pPr>
    </w:p>
    <w:p w14:paraId="00000022" w14:textId="77777777" w:rsidR="00511C99" w:rsidRPr="00C2262D" w:rsidRDefault="00511C99" w:rsidP="00C2262D">
      <w:pPr>
        <w:spacing w:after="0" w:line="240" w:lineRule="auto"/>
        <w:jc w:val="both"/>
        <w:rPr>
          <w:rFonts w:asciiTheme="majorHAnsi" w:eastAsia="Times New Roman" w:hAnsiTheme="majorHAnsi" w:cstheme="majorHAnsi"/>
          <w:b/>
          <w:lang w:val="en-IN"/>
        </w:rPr>
      </w:pPr>
      <w:r w:rsidRPr="00C2262D">
        <w:rPr>
          <w:rFonts w:asciiTheme="majorHAnsi" w:eastAsia="Times New Roman" w:hAnsiTheme="majorHAnsi" w:cstheme="majorHAnsi"/>
          <w:b/>
          <w:lang w:val="en-IN"/>
        </w:rPr>
        <w:t>7.  Reproductive health, contraceptive and abortion access for all women are needed more than ever, especially under conditions of the lockdown.</w:t>
      </w:r>
    </w:p>
    <w:p w14:paraId="00000023" w14:textId="5DFBD75D" w:rsidR="00511C99" w:rsidRDefault="00511C99" w:rsidP="00C2262D">
      <w:pPr>
        <w:shd w:val="clear" w:color="auto" w:fill="FFFFFF"/>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lastRenderedPageBreak/>
        <w:t xml:space="preserve"> Reproductive health services have been severely impacted by the COVID 19 lockdown, resulting in unwanted pregnancies, unsafe </w:t>
      </w:r>
      <w:proofErr w:type="gramStart"/>
      <w:r w:rsidRPr="00C2262D">
        <w:rPr>
          <w:rFonts w:asciiTheme="majorHAnsi" w:eastAsia="Times New Roman" w:hAnsiTheme="majorHAnsi" w:cstheme="majorHAnsi"/>
          <w:lang w:val="en-IN"/>
        </w:rPr>
        <w:t>abortions</w:t>
      </w:r>
      <w:proofErr w:type="gramEnd"/>
      <w:r w:rsidRPr="00C2262D">
        <w:rPr>
          <w:rFonts w:asciiTheme="majorHAnsi" w:eastAsia="Times New Roman" w:hAnsiTheme="majorHAnsi" w:cstheme="majorHAnsi"/>
          <w:lang w:val="en-IN"/>
        </w:rPr>
        <w:t xml:space="preserve"> and maternal deaths. Estimates by FRHS India</w:t>
      </w:r>
      <w:r w:rsidR="00EC5EA8" w:rsidRPr="00C2262D">
        <w:rPr>
          <w:rFonts w:asciiTheme="majorHAnsi" w:eastAsia="Times New Roman" w:hAnsiTheme="majorHAnsi" w:cstheme="majorHAnsi"/>
          <w:lang w:val="en-IN"/>
        </w:rPr>
        <w:t xml:space="preserve"> (footnote </w:t>
      </w:r>
      <w:r w:rsidRPr="00C2262D">
        <w:rPr>
          <w:rFonts w:asciiTheme="majorHAnsi" w:eastAsia="Times New Roman" w:hAnsiTheme="majorHAnsi" w:cstheme="majorHAnsi"/>
          <w:lang w:val="en-IN"/>
        </w:rPr>
        <w:endnoteReference w:id="12"/>
      </w:r>
      <w:r w:rsidR="00EC5EA8" w:rsidRPr="00C2262D">
        <w:rPr>
          <w:rFonts w:asciiTheme="majorHAnsi" w:eastAsia="Times New Roman" w:hAnsiTheme="majorHAnsi" w:cstheme="majorHAnsi"/>
          <w:lang w:val="en-IN"/>
        </w:rPr>
        <w:t>)</w:t>
      </w:r>
      <w:r w:rsidRPr="00C2262D">
        <w:rPr>
          <w:rFonts w:asciiTheme="majorHAnsi" w:eastAsia="Times New Roman" w:hAnsiTheme="majorHAnsi" w:cstheme="majorHAnsi"/>
          <w:lang w:val="en-IN"/>
        </w:rPr>
        <w:t xml:space="preserve">  indicate that anywhere between 2</w:t>
      </w:r>
      <w:r w:rsidR="00EC5EA8" w:rsidRPr="00C2262D">
        <w:rPr>
          <w:rFonts w:asciiTheme="majorHAnsi" w:eastAsia="Times New Roman" w:hAnsiTheme="majorHAnsi" w:cstheme="majorHAnsi"/>
          <w:lang w:val="en-IN"/>
        </w:rPr>
        <w:t>5</w:t>
      </w:r>
      <w:r w:rsidRPr="00C2262D">
        <w:rPr>
          <w:rFonts w:asciiTheme="majorHAnsi" w:eastAsia="Times New Roman" w:hAnsiTheme="majorHAnsi" w:cstheme="majorHAnsi"/>
          <w:lang w:val="en-IN"/>
        </w:rPr>
        <w:t xml:space="preserve"> and 27 million couples have not been able to access contraception during the lockdown period. Minors and caregivers are reluctant to report cases of unwanted pregnancies in the current scenario as they are concerned about the minor being taken to public places like police stations and </w:t>
      </w:r>
      <w:proofErr w:type="gramStart"/>
      <w:r w:rsidRPr="00C2262D">
        <w:rPr>
          <w:rFonts w:asciiTheme="majorHAnsi" w:eastAsia="Times New Roman" w:hAnsiTheme="majorHAnsi" w:cstheme="majorHAnsi"/>
          <w:lang w:val="en-IN"/>
        </w:rPr>
        <w:t>hospitals.</w:t>
      </w:r>
      <w:r w:rsidR="00EC5EA8" w:rsidRPr="00C2262D">
        <w:rPr>
          <w:rFonts w:asciiTheme="majorHAnsi" w:eastAsia="Times New Roman" w:hAnsiTheme="majorHAnsi" w:cstheme="majorHAnsi"/>
          <w:lang w:val="en-IN"/>
        </w:rPr>
        <w:t>(</w:t>
      </w:r>
      <w:proofErr w:type="gramEnd"/>
      <w:r w:rsidR="00EC5EA8" w:rsidRPr="00C2262D">
        <w:rPr>
          <w:rFonts w:asciiTheme="majorHAnsi" w:eastAsia="Times New Roman" w:hAnsiTheme="majorHAnsi" w:cstheme="majorHAnsi"/>
          <w:lang w:val="en-IN"/>
        </w:rPr>
        <w:t xml:space="preserve">footnote </w:t>
      </w:r>
      <w:r w:rsidRPr="00C2262D">
        <w:rPr>
          <w:rFonts w:asciiTheme="majorHAnsi" w:eastAsia="Times New Roman" w:hAnsiTheme="majorHAnsi" w:cstheme="majorHAnsi"/>
          <w:lang w:val="en-IN"/>
        </w:rPr>
        <w:endnoteReference w:id="13"/>
      </w:r>
      <w:r w:rsidR="00EC5EA8" w:rsidRPr="00C2262D">
        <w:rPr>
          <w:rFonts w:asciiTheme="majorHAnsi" w:eastAsia="Times New Roman" w:hAnsiTheme="majorHAnsi" w:cstheme="majorHAnsi"/>
          <w:lang w:val="en-IN"/>
        </w:rPr>
        <w:t>)</w:t>
      </w:r>
      <w:r w:rsidRPr="00C2262D">
        <w:rPr>
          <w:rFonts w:asciiTheme="majorHAnsi" w:eastAsia="Times New Roman" w:hAnsiTheme="majorHAnsi" w:cstheme="majorHAnsi"/>
          <w:lang w:val="en-IN"/>
        </w:rPr>
        <w:t xml:space="preserve">  Stigma and confidentiality are huge issues related to abortion  seeking.  </w:t>
      </w:r>
    </w:p>
    <w:p w14:paraId="21820299" w14:textId="77777777" w:rsidR="00C2262D" w:rsidRPr="00C2262D" w:rsidRDefault="00C2262D" w:rsidP="00C2262D">
      <w:pPr>
        <w:shd w:val="clear" w:color="auto" w:fill="FFFFFF"/>
        <w:spacing w:after="0" w:line="240" w:lineRule="auto"/>
        <w:jc w:val="both"/>
        <w:rPr>
          <w:rFonts w:asciiTheme="majorHAnsi" w:eastAsia="Times New Roman" w:hAnsiTheme="majorHAnsi" w:cstheme="majorHAnsi"/>
          <w:lang w:val="en-IN"/>
        </w:rPr>
      </w:pPr>
    </w:p>
    <w:p w14:paraId="00000024" w14:textId="13AA6C12" w:rsidR="00511C99" w:rsidRDefault="00511C99" w:rsidP="00C2262D">
      <w:pPr>
        <w:shd w:val="clear" w:color="auto" w:fill="FFFFFF"/>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Reproductive and sexual health services are an issue for young people even in so called ‘normal’ times, as several studies show</w:t>
      </w:r>
      <w:r w:rsidR="00533F3E" w:rsidRPr="00C2262D">
        <w:rPr>
          <w:rFonts w:asciiTheme="majorHAnsi" w:eastAsia="Times New Roman" w:hAnsiTheme="majorHAnsi" w:cstheme="majorHAnsi"/>
          <w:lang w:val="en-IN"/>
        </w:rPr>
        <w:t xml:space="preserve"> </w:t>
      </w:r>
      <w:r w:rsidR="00EC5EA8" w:rsidRPr="00C2262D">
        <w:rPr>
          <w:rFonts w:asciiTheme="majorHAnsi" w:eastAsia="Times New Roman" w:hAnsiTheme="majorHAnsi" w:cstheme="majorHAnsi"/>
          <w:lang w:val="en-IN"/>
        </w:rPr>
        <w:t xml:space="preserve">(footnote </w:t>
      </w:r>
      <w:r w:rsidRPr="00C2262D">
        <w:rPr>
          <w:rFonts w:asciiTheme="majorHAnsi" w:eastAsia="Times New Roman" w:hAnsiTheme="majorHAnsi" w:cstheme="majorHAnsi"/>
          <w:lang w:val="en-IN"/>
        </w:rPr>
        <w:endnoteReference w:id="14"/>
      </w:r>
      <w:r w:rsidR="00EC5EA8" w:rsidRPr="00C2262D">
        <w:rPr>
          <w:rFonts w:asciiTheme="majorHAnsi" w:eastAsia="Times New Roman" w:hAnsiTheme="majorHAnsi" w:cstheme="majorHAnsi"/>
          <w:lang w:val="en-IN"/>
        </w:rPr>
        <w:t>)</w:t>
      </w:r>
      <w:r w:rsidR="00533F3E" w:rsidRPr="00C2262D">
        <w:rPr>
          <w:rFonts w:asciiTheme="majorHAnsi" w:eastAsia="Times New Roman" w:hAnsiTheme="majorHAnsi" w:cstheme="majorHAnsi"/>
          <w:lang w:val="en-IN"/>
        </w:rPr>
        <w:t>.</w:t>
      </w:r>
      <w:r w:rsidRPr="00C2262D">
        <w:rPr>
          <w:rFonts w:asciiTheme="majorHAnsi" w:eastAsia="Times New Roman" w:hAnsiTheme="majorHAnsi" w:cstheme="majorHAnsi"/>
          <w:lang w:val="en-IN"/>
        </w:rPr>
        <w:t xml:space="preserve"> </w:t>
      </w:r>
      <w:r w:rsidR="00533F3E" w:rsidRPr="00C2262D">
        <w:rPr>
          <w:rFonts w:asciiTheme="majorHAnsi" w:eastAsia="Times New Roman" w:hAnsiTheme="majorHAnsi" w:cstheme="majorHAnsi"/>
          <w:lang w:val="en-IN"/>
        </w:rPr>
        <w:t xml:space="preserve">NFHS data demonstrates that the use of contraceptives has stagnated at 48% and that age at sterilization has remained unchanged at 25 years. </w:t>
      </w:r>
      <w:r w:rsidRPr="00C2262D">
        <w:rPr>
          <w:rFonts w:asciiTheme="majorHAnsi" w:eastAsia="Times New Roman" w:hAnsiTheme="majorHAnsi" w:cstheme="majorHAnsi"/>
          <w:lang w:val="en-IN"/>
        </w:rPr>
        <w:t xml:space="preserve">From our experience in the field, across several parts of India, we strongly recommend that the </w:t>
      </w:r>
      <w:proofErr w:type="spellStart"/>
      <w:r w:rsidRPr="00C2262D">
        <w:rPr>
          <w:rFonts w:asciiTheme="majorHAnsi" w:eastAsia="Times New Roman" w:hAnsiTheme="majorHAnsi" w:cstheme="majorHAnsi"/>
          <w:lang w:val="en-IN"/>
        </w:rPr>
        <w:t>Rashtriya</w:t>
      </w:r>
      <w:proofErr w:type="spellEnd"/>
      <w:r w:rsidRPr="00C2262D">
        <w:rPr>
          <w:rFonts w:asciiTheme="majorHAnsi" w:eastAsia="Times New Roman" w:hAnsiTheme="majorHAnsi" w:cstheme="majorHAnsi"/>
          <w:lang w:val="en-IN"/>
        </w:rPr>
        <w:t xml:space="preserve"> Kishore </w:t>
      </w:r>
      <w:proofErr w:type="spellStart"/>
      <w:r w:rsidRPr="00C2262D">
        <w:rPr>
          <w:rFonts w:asciiTheme="majorHAnsi" w:eastAsia="Times New Roman" w:hAnsiTheme="majorHAnsi" w:cstheme="majorHAnsi"/>
          <w:lang w:val="en-IN"/>
        </w:rPr>
        <w:t>Swasthya</w:t>
      </w:r>
      <w:proofErr w:type="spellEnd"/>
      <w:r w:rsidRPr="00C2262D">
        <w:rPr>
          <w:rFonts w:asciiTheme="majorHAnsi" w:eastAsia="Times New Roman" w:hAnsiTheme="majorHAnsi" w:cstheme="majorHAnsi"/>
          <w:lang w:val="en-IN"/>
        </w:rPr>
        <w:t xml:space="preserve"> </w:t>
      </w:r>
      <w:proofErr w:type="spellStart"/>
      <w:r w:rsidRPr="00C2262D">
        <w:rPr>
          <w:rFonts w:asciiTheme="majorHAnsi" w:eastAsia="Times New Roman" w:hAnsiTheme="majorHAnsi" w:cstheme="majorHAnsi"/>
          <w:lang w:val="en-IN"/>
        </w:rPr>
        <w:t>Karyakram</w:t>
      </w:r>
      <w:proofErr w:type="spellEnd"/>
      <w:r w:rsidRPr="00C2262D">
        <w:rPr>
          <w:rFonts w:asciiTheme="majorHAnsi" w:eastAsia="Times New Roman" w:hAnsiTheme="majorHAnsi" w:cstheme="majorHAnsi"/>
          <w:lang w:val="en-IN"/>
        </w:rPr>
        <w:t xml:space="preserve"> based on the spirit of the ARSH Strategy be universally implemented with the requisite human and financial resources.  </w:t>
      </w:r>
    </w:p>
    <w:p w14:paraId="0C00A2C5" w14:textId="77777777" w:rsidR="00C2262D" w:rsidRPr="00C2262D" w:rsidRDefault="00C2262D" w:rsidP="00C2262D">
      <w:pPr>
        <w:shd w:val="clear" w:color="auto" w:fill="FFFFFF"/>
        <w:spacing w:after="0" w:line="240" w:lineRule="auto"/>
        <w:jc w:val="both"/>
        <w:rPr>
          <w:rFonts w:asciiTheme="majorHAnsi" w:eastAsia="Times New Roman" w:hAnsiTheme="majorHAnsi" w:cstheme="majorHAnsi"/>
          <w:lang w:val="en-IN"/>
        </w:rPr>
      </w:pPr>
    </w:p>
    <w:p w14:paraId="00000025" w14:textId="0F7103D6" w:rsidR="00511C99" w:rsidRDefault="00511C99" w:rsidP="00C2262D">
      <w:pPr>
        <w:shd w:val="clear" w:color="auto" w:fill="FFFFFF"/>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 xml:space="preserve">A sensitive RKSK and School Health programme which incorporates Life Skills Education (including Comprehensive Sexuality Education) will enhance young people’s negotiation </w:t>
      </w:r>
      <w:proofErr w:type="gramStart"/>
      <w:r w:rsidRPr="00C2262D">
        <w:rPr>
          <w:rFonts w:asciiTheme="majorHAnsi" w:eastAsia="Times New Roman" w:hAnsiTheme="majorHAnsi" w:cstheme="majorHAnsi"/>
          <w:lang w:val="en-IN"/>
        </w:rPr>
        <w:t>skills,  decision</w:t>
      </w:r>
      <w:proofErr w:type="gramEnd"/>
      <w:r w:rsidRPr="00C2262D">
        <w:rPr>
          <w:rFonts w:asciiTheme="majorHAnsi" w:eastAsia="Times New Roman" w:hAnsiTheme="majorHAnsi" w:cstheme="majorHAnsi"/>
          <w:lang w:val="en-IN"/>
        </w:rPr>
        <w:t xml:space="preserve"> making and support seeking. Programmes such as the </w:t>
      </w:r>
      <w:proofErr w:type="spellStart"/>
      <w:r w:rsidRPr="00C2262D">
        <w:rPr>
          <w:rFonts w:asciiTheme="majorHAnsi" w:eastAsia="Times New Roman" w:hAnsiTheme="majorHAnsi" w:cstheme="majorHAnsi"/>
          <w:lang w:val="en-IN"/>
        </w:rPr>
        <w:t>Kishori</w:t>
      </w:r>
      <w:proofErr w:type="spellEnd"/>
      <w:r w:rsidRPr="00C2262D">
        <w:rPr>
          <w:rFonts w:asciiTheme="majorHAnsi" w:eastAsia="Times New Roman" w:hAnsiTheme="majorHAnsi" w:cstheme="majorHAnsi"/>
          <w:lang w:val="en-IN"/>
        </w:rPr>
        <w:t xml:space="preserve"> Shakti Yojana, SABALA, etc are also required for improving girls’ nutritional status - these must be made universal, and must have community and young people’s participation and </w:t>
      </w:r>
      <w:proofErr w:type="gramStart"/>
      <w:r w:rsidRPr="00C2262D">
        <w:rPr>
          <w:rFonts w:asciiTheme="majorHAnsi" w:eastAsia="Times New Roman" w:hAnsiTheme="majorHAnsi" w:cstheme="majorHAnsi"/>
          <w:lang w:val="en-IN"/>
        </w:rPr>
        <w:t>action  built</w:t>
      </w:r>
      <w:proofErr w:type="gramEnd"/>
      <w:r w:rsidRPr="00C2262D">
        <w:rPr>
          <w:rFonts w:asciiTheme="majorHAnsi" w:eastAsia="Times New Roman" w:hAnsiTheme="majorHAnsi" w:cstheme="majorHAnsi"/>
          <w:lang w:val="en-IN"/>
        </w:rPr>
        <w:t xml:space="preserve"> into them. </w:t>
      </w:r>
    </w:p>
    <w:p w14:paraId="7DACD8EB" w14:textId="77777777" w:rsidR="00C2262D" w:rsidRPr="00C2262D" w:rsidRDefault="00C2262D" w:rsidP="00C2262D">
      <w:pPr>
        <w:shd w:val="clear" w:color="auto" w:fill="FFFFFF"/>
        <w:spacing w:after="0" w:line="240" w:lineRule="auto"/>
        <w:jc w:val="both"/>
        <w:rPr>
          <w:rFonts w:asciiTheme="majorHAnsi" w:eastAsia="Times New Roman" w:hAnsiTheme="majorHAnsi" w:cstheme="majorHAnsi"/>
          <w:lang w:val="en-IN"/>
        </w:rPr>
      </w:pPr>
    </w:p>
    <w:p w14:paraId="00000026" w14:textId="77777777" w:rsidR="00511C99" w:rsidRPr="00C2262D" w:rsidRDefault="00511C99" w:rsidP="00C2262D">
      <w:pPr>
        <w:shd w:val="clear" w:color="auto" w:fill="FFFFFF"/>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What would be effective is to make information (knowledge), products (contraception, sanitary pads, counselling) and services (appropriately trained ASHAs, RKSK peer leaders, Adolescent Reproductive and Sexual Health (ARSH) services, regardless of their marital status, available to adolescent girls and boys. Rather than increasing the age of marriage to 21 years, an inter-sectoral approach for addressing adolescent girls’ and boys’ needs for health, education, skills-development, jobs/ employment would synergise the efforts of the various government departments and go a long way in addressing current gaps and challenges on reproductive health.</w:t>
      </w:r>
    </w:p>
    <w:p w14:paraId="00000027" w14:textId="77777777" w:rsidR="00511C99" w:rsidRPr="00C2262D" w:rsidRDefault="00511C99" w:rsidP="00C2262D">
      <w:pPr>
        <w:shd w:val="clear" w:color="auto" w:fill="FFFFFF"/>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 xml:space="preserve"> </w:t>
      </w:r>
    </w:p>
    <w:p w14:paraId="00000029" w14:textId="42B9D428" w:rsidR="00511C99" w:rsidRPr="00C2262D" w:rsidRDefault="00511C99" w:rsidP="00C2262D">
      <w:pPr>
        <w:spacing w:after="0" w:line="240" w:lineRule="auto"/>
        <w:jc w:val="both"/>
        <w:rPr>
          <w:rFonts w:asciiTheme="majorHAnsi" w:eastAsia="Times New Roman" w:hAnsiTheme="majorHAnsi" w:cstheme="majorHAnsi"/>
          <w:b/>
          <w:lang w:val="en-IN"/>
        </w:rPr>
      </w:pPr>
      <w:r w:rsidRPr="00C2262D">
        <w:rPr>
          <w:rFonts w:asciiTheme="majorHAnsi" w:eastAsia="Times New Roman" w:hAnsiTheme="majorHAnsi" w:cstheme="majorHAnsi"/>
          <w:b/>
          <w:lang w:val="en-IN"/>
        </w:rPr>
        <w:t>8.  Why fix an unbroken thing during an unprecedent health crisis and an economic meltdown?</w:t>
      </w:r>
    </w:p>
    <w:p w14:paraId="0000002A" w14:textId="77777777" w:rsidR="00511C99" w:rsidRPr="00C2262D" w:rsidRDefault="00511C99" w:rsidP="00C2262D">
      <w:pP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 xml:space="preserve">We fail to understand why the idea of raising the age of marriage to 21 years is being contemplated at this moment in time.  The Asian Development Bank has predicted a 30% reduction in India’s economy.  There are numerous daily reports from across the country of joblessness with even </w:t>
      </w:r>
      <w:proofErr w:type="spellStart"/>
      <w:proofErr w:type="gramStart"/>
      <w:r w:rsidRPr="00C2262D">
        <w:rPr>
          <w:rFonts w:asciiTheme="majorHAnsi" w:eastAsia="Times New Roman" w:hAnsiTheme="majorHAnsi" w:cstheme="majorHAnsi"/>
          <w:lang w:val="en-IN"/>
        </w:rPr>
        <w:t>well educated</w:t>
      </w:r>
      <w:proofErr w:type="spellEnd"/>
      <w:proofErr w:type="gramEnd"/>
      <w:r w:rsidRPr="00C2262D">
        <w:rPr>
          <w:rFonts w:asciiTheme="majorHAnsi" w:eastAsia="Times New Roman" w:hAnsiTheme="majorHAnsi" w:cstheme="majorHAnsi"/>
          <w:lang w:val="en-IN"/>
        </w:rPr>
        <w:t xml:space="preserve"> men and women signing up for NREGA work in rural areas.  All this is leading </w:t>
      </w:r>
      <w:proofErr w:type="gramStart"/>
      <w:r w:rsidRPr="00C2262D">
        <w:rPr>
          <w:rFonts w:asciiTheme="majorHAnsi" w:eastAsia="Times New Roman" w:hAnsiTheme="majorHAnsi" w:cstheme="majorHAnsi"/>
          <w:lang w:val="en-IN"/>
        </w:rPr>
        <w:t>to  consequent</w:t>
      </w:r>
      <w:proofErr w:type="gramEnd"/>
      <w:r w:rsidRPr="00C2262D">
        <w:rPr>
          <w:rFonts w:asciiTheme="majorHAnsi" w:eastAsia="Times New Roman" w:hAnsiTheme="majorHAnsi" w:cstheme="majorHAnsi"/>
          <w:lang w:val="en-IN"/>
        </w:rPr>
        <w:t xml:space="preserve"> mass malnourishment and material hardships of all kinds.  There are reports of families struggling to make ends meet, and some may well look to early marriages for their daughters as a way out.  Such families need wholesale support for their many basic needs.  Schooling under </w:t>
      </w:r>
      <w:proofErr w:type="spellStart"/>
      <w:r w:rsidRPr="00C2262D">
        <w:rPr>
          <w:rFonts w:asciiTheme="majorHAnsi" w:eastAsia="Times New Roman" w:hAnsiTheme="majorHAnsi" w:cstheme="majorHAnsi"/>
          <w:lang w:val="en-IN"/>
        </w:rPr>
        <w:t>CoVid</w:t>
      </w:r>
      <w:proofErr w:type="spellEnd"/>
      <w:r w:rsidRPr="00C2262D">
        <w:rPr>
          <w:rFonts w:asciiTheme="majorHAnsi" w:eastAsia="Times New Roman" w:hAnsiTheme="majorHAnsi" w:cstheme="majorHAnsi"/>
          <w:lang w:val="en-IN"/>
        </w:rPr>
        <w:t xml:space="preserve"> and lockdown conditions is one of the biggest challenges of the present, when it is not possible to attend classes and online options are being offered in areas which may not even have steady sources of electricity.  How can this be a moment to add further to the burdens of families struggling for their very survival by making 21 the legal marriageable age of their daughters, in the absence of which they would face imprisonment or fines?</w:t>
      </w:r>
    </w:p>
    <w:p w14:paraId="0000002B" w14:textId="77777777" w:rsidR="00511C99" w:rsidRPr="00C2262D" w:rsidRDefault="00511C99" w:rsidP="00C2262D">
      <w:pPr>
        <w:spacing w:after="0" w:line="240" w:lineRule="auto"/>
        <w:jc w:val="both"/>
        <w:rPr>
          <w:rFonts w:asciiTheme="majorHAnsi" w:eastAsia="Times New Roman" w:hAnsiTheme="majorHAnsi" w:cstheme="majorHAnsi"/>
          <w:lang w:val="en-IN"/>
        </w:rPr>
      </w:pPr>
    </w:p>
    <w:p w14:paraId="0000002C" w14:textId="77777777" w:rsidR="00511C99" w:rsidRPr="00C2262D" w:rsidRDefault="00511C99" w:rsidP="00C2262D">
      <w:pPr>
        <w:spacing w:after="0" w:line="240" w:lineRule="auto"/>
        <w:jc w:val="both"/>
        <w:rPr>
          <w:rFonts w:asciiTheme="majorHAnsi" w:eastAsia="Times New Roman" w:hAnsiTheme="majorHAnsi" w:cstheme="majorHAnsi"/>
          <w:b/>
          <w:lang w:val="en-IN"/>
        </w:rPr>
      </w:pPr>
      <w:r w:rsidRPr="00C2262D">
        <w:rPr>
          <w:rFonts w:asciiTheme="majorHAnsi" w:eastAsia="Times New Roman" w:hAnsiTheme="majorHAnsi" w:cstheme="majorHAnsi"/>
          <w:b/>
          <w:lang w:val="en-IN"/>
        </w:rPr>
        <w:t>9. Please pay more attention to Gender Biased Sex Selection and Excess Female Mortality</w:t>
      </w:r>
    </w:p>
    <w:p w14:paraId="0000002D" w14:textId="470113BA" w:rsidR="00040A07" w:rsidRPr="00C2262D" w:rsidRDefault="00511C99" w:rsidP="00C2262D">
      <w:pP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The TOR of the Task Force mentions adverse Child Sex Ratios and Sex Ratios at Birth.  Here too it should not be necessary to spell out details which must be well known to everyone.  Census 2011 and NFHS 4 have indicated a further worsening in both SRBs and CSRs in India, as gender biased sex selection (</w:t>
      </w:r>
      <w:proofErr w:type="gramStart"/>
      <w:r w:rsidRPr="00C2262D">
        <w:rPr>
          <w:rFonts w:asciiTheme="majorHAnsi" w:eastAsia="Times New Roman" w:hAnsiTheme="majorHAnsi" w:cstheme="majorHAnsi"/>
          <w:lang w:val="en-IN"/>
        </w:rPr>
        <w:t>GBSS)  in</w:t>
      </w:r>
      <w:proofErr w:type="gramEnd"/>
      <w:r w:rsidRPr="00C2262D">
        <w:rPr>
          <w:rFonts w:asciiTheme="majorHAnsi" w:eastAsia="Times New Roman" w:hAnsiTheme="majorHAnsi" w:cstheme="majorHAnsi"/>
          <w:lang w:val="en-IN"/>
        </w:rPr>
        <w:t xml:space="preserve"> particular is now spreading to most parts of the country including south India.  (John 2014 for an overview.)</w:t>
      </w:r>
      <w:r w:rsidRPr="00C2262D">
        <w:rPr>
          <w:rFonts w:asciiTheme="majorHAnsi" w:eastAsia="Times New Roman" w:hAnsiTheme="majorHAnsi" w:cstheme="majorHAnsi"/>
          <w:vertAlign w:val="superscript"/>
          <w:lang w:val="en-IN"/>
        </w:rPr>
        <w:endnoteReference w:id="15"/>
      </w:r>
      <w:r w:rsidRPr="00C2262D">
        <w:rPr>
          <w:rFonts w:asciiTheme="majorHAnsi" w:eastAsia="Times New Roman" w:hAnsiTheme="majorHAnsi" w:cstheme="majorHAnsi"/>
          <w:lang w:val="en-IN"/>
        </w:rPr>
        <w:t xml:space="preserve">  However, what must not be forgotten is that there is excess female mortality at the post-natal level too, and this is a significant contributor to adverse sex ratios, especially in poorer regions of the country and in states like Bihar and Uttar Pradesh.  </w:t>
      </w:r>
      <w:r w:rsidR="00064F58" w:rsidRPr="00C2262D">
        <w:rPr>
          <w:rFonts w:asciiTheme="majorHAnsi" w:eastAsia="Times New Roman" w:hAnsiTheme="majorHAnsi" w:cstheme="majorHAnsi"/>
          <w:lang w:val="en-IN"/>
        </w:rPr>
        <w:t>A</w:t>
      </w:r>
      <w:r w:rsidRPr="00C2262D">
        <w:rPr>
          <w:rFonts w:asciiTheme="majorHAnsi" w:eastAsia="Times New Roman" w:hAnsiTheme="majorHAnsi" w:cstheme="majorHAnsi"/>
          <w:lang w:val="en-IN"/>
        </w:rPr>
        <w:t xml:space="preserve"> very significant </w:t>
      </w:r>
      <w:r w:rsidRPr="00C2262D">
        <w:rPr>
          <w:rFonts w:asciiTheme="majorHAnsi" w:eastAsia="Times New Roman" w:hAnsiTheme="majorHAnsi" w:cstheme="majorHAnsi"/>
          <w:lang w:val="en-IN"/>
        </w:rPr>
        <w:lastRenderedPageBreak/>
        <w:t>study (</w:t>
      </w:r>
      <w:proofErr w:type="spellStart"/>
      <w:r w:rsidRPr="00C2262D">
        <w:rPr>
          <w:rFonts w:asciiTheme="majorHAnsi" w:eastAsia="Times New Roman" w:hAnsiTheme="majorHAnsi" w:cstheme="majorHAnsi"/>
          <w:lang w:val="en-IN"/>
        </w:rPr>
        <w:t>Bongaarts</w:t>
      </w:r>
      <w:proofErr w:type="spellEnd"/>
      <w:r w:rsidRPr="00C2262D">
        <w:rPr>
          <w:rFonts w:asciiTheme="majorHAnsi" w:eastAsia="Times New Roman" w:hAnsiTheme="majorHAnsi" w:cstheme="majorHAnsi"/>
          <w:lang w:val="en-IN"/>
        </w:rPr>
        <w:t xml:space="preserve"> and </w:t>
      </w:r>
      <w:proofErr w:type="spellStart"/>
      <w:r w:rsidRPr="00C2262D">
        <w:rPr>
          <w:rFonts w:asciiTheme="majorHAnsi" w:eastAsia="Times New Roman" w:hAnsiTheme="majorHAnsi" w:cstheme="majorHAnsi"/>
          <w:lang w:val="en-IN"/>
        </w:rPr>
        <w:t>Guilmoto</w:t>
      </w:r>
      <w:proofErr w:type="spellEnd"/>
      <w:r w:rsidRPr="00C2262D">
        <w:rPr>
          <w:rFonts w:asciiTheme="majorHAnsi" w:eastAsia="Times New Roman" w:hAnsiTheme="majorHAnsi" w:cstheme="majorHAnsi"/>
          <w:lang w:val="en-IN"/>
        </w:rPr>
        <w:t xml:space="preserve"> 2015) </w:t>
      </w:r>
      <w:r w:rsidRPr="00C2262D">
        <w:rPr>
          <w:rFonts w:asciiTheme="majorHAnsi" w:eastAsia="Times New Roman" w:hAnsiTheme="majorHAnsi" w:cstheme="majorHAnsi"/>
          <w:vertAlign w:val="superscript"/>
          <w:lang w:val="en-IN"/>
        </w:rPr>
        <w:endnoteReference w:id="16"/>
      </w:r>
      <w:r w:rsidRPr="00C2262D">
        <w:rPr>
          <w:rFonts w:asciiTheme="majorHAnsi" w:eastAsia="Times New Roman" w:hAnsiTheme="majorHAnsi" w:cstheme="majorHAnsi"/>
          <w:lang w:val="en-IN"/>
        </w:rPr>
        <w:t xml:space="preserve"> </w:t>
      </w:r>
      <w:r w:rsidR="00447A33" w:rsidRPr="00C2262D">
        <w:rPr>
          <w:rFonts w:asciiTheme="majorHAnsi" w:eastAsia="Times New Roman" w:hAnsiTheme="majorHAnsi" w:cstheme="majorHAnsi"/>
          <w:lang w:val="en-IN"/>
        </w:rPr>
        <w:t xml:space="preserve"> ha</w:t>
      </w:r>
      <w:r w:rsidR="00064F58" w:rsidRPr="00C2262D">
        <w:rPr>
          <w:rFonts w:asciiTheme="majorHAnsi" w:eastAsia="Times New Roman" w:hAnsiTheme="majorHAnsi" w:cstheme="majorHAnsi"/>
          <w:lang w:val="en-IN"/>
        </w:rPr>
        <w:t>s</w:t>
      </w:r>
      <w:r w:rsidR="00447A33" w:rsidRPr="00C2262D">
        <w:rPr>
          <w:rFonts w:asciiTheme="majorHAnsi" w:eastAsia="Times New Roman" w:hAnsiTheme="majorHAnsi" w:cstheme="majorHAnsi"/>
          <w:lang w:val="en-IN"/>
        </w:rPr>
        <w:t xml:space="preserve"> estimated India’s contribution to missing females at 40 million by 2050 due to sex selection and to a lesser extent excess female mortality.   Consider what effects the economic slowdown and the now unfolding crisis may have on families newly experiencing hardship and the gender biases against girls that may result.</w:t>
      </w:r>
    </w:p>
    <w:p w14:paraId="0000002E" w14:textId="77777777" w:rsidR="00040A07" w:rsidRPr="00C2262D" w:rsidRDefault="00040A07" w:rsidP="00C2262D">
      <w:pPr>
        <w:spacing w:after="0" w:line="240" w:lineRule="auto"/>
        <w:jc w:val="both"/>
        <w:rPr>
          <w:rFonts w:asciiTheme="majorHAnsi" w:eastAsia="Times New Roman" w:hAnsiTheme="majorHAnsi" w:cstheme="majorHAnsi"/>
          <w:lang w:val="en-IN"/>
        </w:rPr>
      </w:pPr>
    </w:p>
    <w:p w14:paraId="0000002F" w14:textId="6B0AA7B4" w:rsidR="00040A07" w:rsidRDefault="00447A33" w:rsidP="00C2262D">
      <w:pPr>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 xml:space="preserve">By way of summing up, </w:t>
      </w:r>
      <w:r w:rsidRPr="00D16FD0">
        <w:rPr>
          <w:rFonts w:asciiTheme="majorHAnsi" w:eastAsia="Times New Roman" w:hAnsiTheme="majorHAnsi" w:cstheme="majorHAnsi"/>
          <w:b/>
          <w:bCs/>
          <w:lang w:val="en-IN"/>
        </w:rPr>
        <w:t>we believe that it is necessary to focus on empowerment, not age.</w:t>
      </w:r>
      <w:r w:rsidRPr="00C2262D">
        <w:rPr>
          <w:rFonts w:asciiTheme="majorHAnsi" w:eastAsia="Times New Roman" w:hAnsiTheme="majorHAnsi" w:cstheme="majorHAnsi"/>
          <w:lang w:val="en-IN"/>
        </w:rPr>
        <w:t xml:space="preserve">  Articulation of the problem in terms of age at marriage, rather than empowerment of women and girls, obscures the prevalence of structural factors that impede girls’ agency, aspirations, and voice, and leads to narrow-focused interventions that aim to merely ‘stop’ marriages below a certain age, whether 18 or 21 years. </w:t>
      </w:r>
    </w:p>
    <w:p w14:paraId="12D099CE" w14:textId="77777777" w:rsidR="00C2262D" w:rsidRPr="00C2262D" w:rsidRDefault="00C2262D" w:rsidP="00C2262D">
      <w:pPr>
        <w:spacing w:after="0" w:line="240" w:lineRule="auto"/>
        <w:jc w:val="both"/>
        <w:rPr>
          <w:rFonts w:asciiTheme="majorHAnsi" w:eastAsia="Times New Roman" w:hAnsiTheme="majorHAnsi" w:cstheme="majorHAnsi"/>
          <w:lang w:val="en-IN"/>
        </w:rPr>
      </w:pPr>
    </w:p>
    <w:p w14:paraId="00000030" w14:textId="67A93F96" w:rsidR="00040A07" w:rsidRDefault="00447A33" w:rsidP="00C2262D">
      <w:pPr>
        <w:shd w:val="clear" w:color="auto" w:fill="FFFFFF"/>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Young people want change and want to get out of their predicament and have</w:t>
      </w:r>
      <w:r w:rsidR="00D53C0A" w:rsidRPr="00C2262D">
        <w:rPr>
          <w:rFonts w:asciiTheme="majorHAnsi" w:eastAsia="Times New Roman" w:hAnsiTheme="majorHAnsi" w:cstheme="majorHAnsi"/>
          <w:lang w:val="en-IN"/>
        </w:rPr>
        <w:t xml:space="preserve"> the</w:t>
      </w:r>
      <w:r w:rsidRPr="00C2262D">
        <w:rPr>
          <w:rFonts w:asciiTheme="majorHAnsi" w:eastAsia="Times New Roman" w:hAnsiTheme="majorHAnsi" w:cstheme="majorHAnsi"/>
          <w:lang w:val="en-IN"/>
        </w:rPr>
        <w:t xml:space="preserve"> full capacit</w:t>
      </w:r>
      <w:r w:rsidR="00D53C0A" w:rsidRPr="00C2262D">
        <w:rPr>
          <w:rFonts w:asciiTheme="majorHAnsi" w:eastAsia="Times New Roman" w:hAnsiTheme="majorHAnsi" w:cstheme="majorHAnsi"/>
          <w:lang w:val="en-IN"/>
        </w:rPr>
        <w:t>y</w:t>
      </w:r>
      <w:r w:rsidRPr="00C2262D">
        <w:rPr>
          <w:rFonts w:asciiTheme="majorHAnsi" w:eastAsia="Times New Roman" w:hAnsiTheme="majorHAnsi" w:cstheme="majorHAnsi"/>
          <w:lang w:val="en-IN"/>
        </w:rPr>
        <w:t xml:space="preserve"> to be equal partners to reconstruct their lives. Thereby, they will gain confidence to pursue education from the point where they have left off. This would unleash tremendous </w:t>
      </w:r>
      <w:proofErr w:type="gramStart"/>
      <w:r w:rsidRPr="00C2262D">
        <w:rPr>
          <w:rFonts w:asciiTheme="majorHAnsi" w:eastAsia="Times New Roman" w:hAnsiTheme="majorHAnsi" w:cstheme="majorHAnsi"/>
          <w:lang w:val="en-IN"/>
        </w:rPr>
        <w:t xml:space="preserve">energy, </w:t>
      </w:r>
      <w:r w:rsidR="008648EC" w:rsidRPr="00C2262D">
        <w:rPr>
          <w:rFonts w:asciiTheme="majorHAnsi" w:eastAsia="Times New Roman" w:hAnsiTheme="majorHAnsi" w:cstheme="majorHAnsi"/>
          <w:lang w:val="en-IN"/>
        </w:rPr>
        <w:t>and</w:t>
      </w:r>
      <w:proofErr w:type="gramEnd"/>
      <w:r w:rsidR="008648EC" w:rsidRPr="00C2262D">
        <w:rPr>
          <w:rFonts w:asciiTheme="majorHAnsi" w:eastAsia="Times New Roman" w:hAnsiTheme="majorHAnsi" w:cstheme="majorHAnsi"/>
          <w:lang w:val="en-IN"/>
        </w:rPr>
        <w:t xml:space="preserve"> </w:t>
      </w:r>
      <w:r w:rsidRPr="00C2262D">
        <w:rPr>
          <w:rFonts w:asciiTheme="majorHAnsi" w:eastAsia="Times New Roman" w:hAnsiTheme="majorHAnsi" w:cstheme="majorHAnsi"/>
          <w:lang w:val="en-IN"/>
        </w:rPr>
        <w:t xml:space="preserve">build a confident youth force. </w:t>
      </w:r>
      <w:r w:rsidR="008648EC" w:rsidRPr="00C2262D">
        <w:rPr>
          <w:rFonts w:asciiTheme="majorHAnsi" w:eastAsia="Times New Roman" w:hAnsiTheme="majorHAnsi" w:cstheme="majorHAnsi"/>
          <w:lang w:val="en-IN"/>
        </w:rPr>
        <w:t>The s</w:t>
      </w:r>
      <w:r w:rsidRPr="00C2262D">
        <w:rPr>
          <w:rFonts w:asciiTheme="majorHAnsi" w:eastAsia="Times New Roman" w:hAnsiTheme="majorHAnsi" w:cstheme="majorHAnsi"/>
          <w:lang w:val="en-IN"/>
        </w:rPr>
        <w:t xml:space="preserve">tate </w:t>
      </w:r>
      <w:proofErr w:type="gramStart"/>
      <w:r w:rsidRPr="00C2262D">
        <w:rPr>
          <w:rFonts w:asciiTheme="majorHAnsi" w:eastAsia="Times New Roman" w:hAnsiTheme="majorHAnsi" w:cstheme="majorHAnsi"/>
          <w:lang w:val="en-IN"/>
        </w:rPr>
        <w:t>has to</w:t>
      </w:r>
      <w:proofErr w:type="gramEnd"/>
      <w:r w:rsidRPr="00C2262D">
        <w:rPr>
          <w:rFonts w:asciiTheme="majorHAnsi" w:eastAsia="Times New Roman" w:hAnsiTheme="majorHAnsi" w:cstheme="majorHAnsi"/>
          <w:lang w:val="en-IN"/>
        </w:rPr>
        <w:t xml:space="preserve"> shoulder the responsibility of reaching out to them and extend itself to constantly engage with them, consult and </w:t>
      </w:r>
      <w:proofErr w:type="spellStart"/>
      <w:r w:rsidRPr="00C2262D">
        <w:rPr>
          <w:rFonts w:asciiTheme="majorHAnsi" w:eastAsia="Times New Roman" w:hAnsiTheme="majorHAnsi" w:cstheme="majorHAnsi"/>
          <w:lang w:val="en-IN"/>
        </w:rPr>
        <w:t>visibilise</w:t>
      </w:r>
      <w:proofErr w:type="spellEnd"/>
      <w:r w:rsidRPr="00C2262D">
        <w:rPr>
          <w:rFonts w:asciiTheme="majorHAnsi" w:eastAsia="Times New Roman" w:hAnsiTheme="majorHAnsi" w:cstheme="majorHAnsi"/>
          <w:lang w:val="en-IN"/>
        </w:rPr>
        <w:t xml:space="preserve"> them.  </w:t>
      </w:r>
    </w:p>
    <w:p w14:paraId="62F94FD5" w14:textId="77777777" w:rsidR="00C2262D" w:rsidRPr="00C2262D" w:rsidRDefault="00C2262D" w:rsidP="00C2262D">
      <w:pPr>
        <w:shd w:val="clear" w:color="auto" w:fill="FFFFFF"/>
        <w:spacing w:after="0" w:line="240" w:lineRule="auto"/>
        <w:jc w:val="both"/>
        <w:rPr>
          <w:rFonts w:asciiTheme="majorHAnsi" w:eastAsia="Times New Roman" w:hAnsiTheme="majorHAnsi" w:cstheme="majorHAnsi"/>
          <w:lang w:val="en-IN"/>
        </w:rPr>
      </w:pPr>
    </w:p>
    <w:p w14:paraId="00000033" w14:textId="303CD56D" w:rsidR="00040A07" w:rsidRPr="00C2262D" w:rsidRDefault="00447A33" w:rsidP="00C2262D">
      <w:pPr>
        <w:shd w:val="clear" w:color="auto" w:fill="FFFFFF"/>
        <w:spacing w:after="0" w:line="240" w:lineRule="auto"/>
        <w:jc w:val="both"/>
        <w:rPr>
          <w:rFonts w:asciiTheme="majorHAnsi" w:eastAsia="Times New Roman" w:hAnsiTheme="majorHAnsi" w:cstheme="majorHAnsi"/>
          <w:lang w:val="en-IN"/>
        </w:rPr>
      </w:pPr>
      <w:r w:rsidRPr="00C2262D">
        <w:rPr>
          <w:rFonts w:asciiTheme="majorHAnsi" w:eastAsia="Times New Roman" w:hAnsiTheme="majorHAnsi" w:cstheme="majorHAnsi"/>
          <w:lang w:val="en-IN"/>
        </w:rPr>
        <w:t xml:space="preserve">This would correct the injustice meted out to them and give them a fair chance to participate </w:t>
      </w:r>
      <w:proofErr w:type="gramStart"/>
      <w:r w:rsidRPr="00C2262D">
        <w:rPr>
          <w:rFonts w:asciiTheme="majorHAnsi" w:eastAsia="Times New Roman" w:hAnsiTheme="majorHAnsi" w:cstheme="majorHAnsi"/>
          <w:lang w:val="en-IN"/>
        </w:rPr>
        <w:t>in  the</w:t>
      </w:r>
      <w:proofErr w:type="gramEnd"/>
      <w:r w:rsidRPr="00C2262D">
        <w:rPr>
          <w:rFonts w:asciiTheme="majorHAnsi" w:eastAsia="Times New Roman" w:hAnsiTheme="majorHAnsi" w:cstheme="majorHAnsi"/>
          <w:lang w:val="en-IN"/>
        </w:rPr>
        <w:t xml:space="preserve"> process of nation building as well. Given the gross neglect of children, </w:t>
      </w:r>
      <w:r w:rsidR="008648EC" w:rsidRPr="00C2262D">
        <w:rPr>
          <w:rFonts w:asciiTheme="majorHAnsi" w:eastAsia="Times New Roman" w:hAnsiTheme="majorHAnsi" w:cstheme="majorHAnsi"/>
          <w:lang w:val="en-IN"/>
        </w:rPr>
        <w:t xml:space="preserve">the </w:t>
      </w:r>
      <w:r w:rsidRPr="00C2262D">
        <w:rPr>
          <w:rFonts w:asciiTheme="majorHAnsi" w:eastAsia="Times New Roman" w:hAnsiTheme="majorHAnsi" w:cstheme="majorHAnsi"/>
          <w:lang w:val="en-IN"/>
        </w:rPr>
        <w:t xml:space="preserve">continuing </w:t>
      </w:r>
      <w:proofErr w:type="gramStart"/>
      <w:r w:rsidRPr="00C2262D">
        <w:rPr>
          <w:rFonts w:asciiTheme="majorHAnsi" w:eastAsia="Times New Roman" w:hAnsiTheme="majorHAnsi" w:cstheme="majorHAnsi"/>
          <w:lang w:val="en-IN"/>
        </w:rPr>
        <w:t>violation  of</w:t>
      </w:r>
      <w:proofErr w:type="gramEnd"/>
      <w:r w:rsidRPr="00C2262D">
        <w:rPr>
          <w:rFonts w:asciiTheme="majorHAnsi" w:eastAsia="Times New Roman" w:hAnsiTheme="majorHAnsi" w:cstheme="majorHAnsi"/>
          <w:lang w:val="en-IN"/>
        </w:rPr>
        <w:t xml:space="preserve"> their human rights and the deprivation of their basic entitlements it is a moral imperative to  provide them all that is necessary in terms of education, health, food security and a condition  that gives them a sense of self-worth and importance.</w:t>
      </w:r>
      <w:r w:rsidR="008648EC" w:rsidRPr="00C2262D">
        <w:rPr>
          <w:rFonts w:asciiTheme="majorHAnsi" w:eastAsia="Times New Roman" w:hAnsiTheme="majorHAnsi" w:cstheme="majorHAnsi"/>
          <w:lang w:val="en-IN"/>
        </w:rPr>
        <w:t xml:space="preserve">  </w:t>
      </w:r>
      <w:proofErr w:type="gramStart"/>
      <w:r w:rsidRPr="00C2262D">
        <w:rPr>
          <w:rFonts w:asciiTheme="majorHAnsi" w:eastAsia="Times New Roman" w:hAnsiTheme="majorHAnsi" w:cstheme="majorHAnsi"/>
          <w:lang w:val="en-IN"/>
        </w:rPr>
        <w:t>In  all</w:t>
      </w:r>
      <w:proofErr w:type="gramEnd"/>
      <w:r w:rsidRPr="00C2262D">
        <w:rPr>
          <w:rFonts w:asciiTheme="majorHAnsi" w:eastAsia="Times New Roman" w:hAnsiTheme="majorHAnsi" w:cstheme="majorHAnsi"/>
          <w:lang w:val="en-IN"/>
        </w:rPr>
        <w:t xml:space="preserve">  fairness  marginalized  children  </w:t>
      </w:r>
      <w:r w:rsidR="008648EC" w:rsidRPr="00C2262D">
        <w:rPr>
          <w:rFonts w:asciiTheme="majorHAnsi" w:eastAsia="Times New Roman" w:hAnsiTheme="majorHAnsi" w:cstheme="majorHAnsi"/>
          <w:lang w:val="en-IN"/>
        </w:rPr>
        <w:t xml:space="preserve">in particular </w:t>
      </w:r>
      <w:r w:rsidRPr="00C2262D">
        <w:rPr>
          <w:rFonts w:asciiTheme="majorHAnsi" w:eastAsia="Times New Roman" w:hAnsiTheme="majorHAnsi" w:cstheme="majorHAnsi"/>
          <w:lang w:val="en-IN"/>
        </w:rPr>
        <w:t xml:space="preserve">require  </w:t>
      </w:r>
      <w:r w:rsidR="008648EC" w:rsidRPr="00C2262D">
        <w:rPr>
          <w:rFonts w:asciiTheme="majorHAnsi" w:eastAsia="Times New Roman" w:hAnsiTheme="majorHAnsi" w:cstheme="majorHAnsi"/>
          <w:lang w:val="en-IN"/>
        </w:rPr>
        <w:t>the</w:t>
      </w:r>
      <w:r w:rsidRPr="00C2262D">
        <w:rPr>
          <w:rFonts w:asciiTheme="majorHAnsi" w:eastAsia="Times New Roman" w:hAnsiTheme="majorHAnsi" w:cstheme="majorHAnsi"/>
          <w:lang w:val="en-IN"/>
        </w:rPr>
        <w:t xml:space="preserve">  wholehearted  and  uncompromising effort of one and all to energise those in power and authority to  pledge </w:t>
      </w:r>
      <w:r w:rsidR="008648EC" w:rsidRPr="00C2262D">
        <w:rPr>
          <w:rFonts w:asciiTheme="majorHAnsi" w:eastAsia="Times New Roman" w:hAnsiTheme="majorHAnsi" w:cstheme="majorHAnsi"/>
          <w:lang w:val="en-IN"/>
        </w:rPr>
        <w:t xml:space="preserve">themselves to </w:t>
      </w:r>
      <w:r w:rsidRPr="00C2262D">
        <w:rPr>
          <w:rFonts w:asciiTheme="majorHAnsi" w:eastAsia="Times New Roman" w:hAnsiTheme="majorHAnsi" w:cstheme="majorHAnsi"/>
          <w:lang w:val="en-IN"/>
        </w:rPr>
        <w:t xml:space="preserve">children's wellbeing. In all the ways that this note has suggested the national consciousness can be aroused to correct the </w:t>
      </w:r>
      <w:proofErr w:type="gramStart"/>
      <w:r w:rsidRPr="00C2262D">
        <w:rPr>
          <w:rFonts w:asciiTheme="majorHAnsi" w:eastAsia="Times New Roman" w:hAnsiTheme="majorHAnsi" w:cstheme="majorHAnsi"/>
          <w:lang w:val="en-IN"/>
        </w:rPr>
        <w:t>wrongs  that</w:t>
      </w:r>
      <w:proofErr w:type="gramEnd"/>
      <w:r w:rsidRPr="00C2262D">
        <w:rPr>
          <w:rFonts w:asciiTheme="majorHAnsi" w:eastAsia="Times New Roman" w:hAnsiTheme="majorHAnsi" w:cstheme="majorHAnsi"/>
          <w:lang w:val="en-IN"/>
        </w:rPr>
        <w:t xml:space="preserve"> they have been subjected to and so ensure that their sufferings for survival </w:t>
      </w:r>
      <w:r w:rsidR="008648EC" w:rsidRPr="00C2262D">
        <w:rPr>
          <w:rFonts w:asciiTheme="majorHAnsi" w:eastAsia="Times New Roman" w:hAnsiTheme="majorHAnsi" w:cstheme="majorHAnsi"/>
          <w:lang w:val="en-IN"/>
        </w:rPr>
        <w:t xml:space="preserve">are </w:t>
      </w:r>
      <w:r w:rsidRPr="00C2262D">
        <w:rPr>
          <w:rFonts w:asciiTheme="majorHAnsi" w:eastAsia="Times New Roman" w:hAnsiTheme="majorHAnsi" w:cstheme="majorHAnsi"/>
          <w:lang w:val="en-IN"/>
        </w:rPr>
        <w:t xml:space="preserve">part  of  history.  </w:t>
      </w:r>
    </w:p>
    <w:p w14:paraId="00000034" w14:textId="3F33618B" w:rsidR="00E33A0A" w:rsidRDefault="00E33A0A">
      <w:pPr>
        <w:rPr>
          <w:rFonts w:asciiTheme="majorHAnsi" w:eastAsia="Times New Roman" w:hAnsiTheme="majorHAnsi" w:cstheme="majorHAnsi"/>
          <w:b/>
          <w:lang w:val="en-IN"/>
        </w:rPr>
      </w:pPr>
      <w:r>
        <w:rPr>
          <w:rFonts w:asciiTheme="majorHAnsi" w:eastAsia="Times New Roman" w:hAnsiTheme="majorHAnsi" w:cstheme="majorHAnsi"/>
          <w:b/>
          <w:lang w:val="en-IN"/>
        </w:rPr>
        <w:br w:type="page"/>
      </w:r>
    </w:p>
    <w:p w14:paraId="6226DF09" w14:textId="242F42B2" w:rsidR="00E33A0A" w:rsidRPr="00C2262D" w:rsidRDefault="00E33A0A" w:rsidP="00E33A0A">
      <w:pPr>
        <w:rPr>
          <w:b/>
          <w:sz w:val="24"/>
          <w:szCs w:val="24"/>
        </w:rPr>
      </w:pPr>
      <w:r w:rsidRPr="00C2262D">
        <w:rPr>
          <w:b/>
          <w:sz w:val="24"/>
          <w:szCs w:val="24"/>
        </w:rPr>
        <w:lastRenderedPageBreak/>
        <w:t xml:space="preserve">LIST OF </w:t>
      </w:r>
      <w:proofErr w:type="gramStart"/>
      <w:r w:rsidRPr="00C2262D">
        <w:rPr>
          <w:b/>
          <w:sz w:val="24"/>
          <w:szCs w:val="24"/>
        </w:rPr>
        <w:t>ORGANISATIONS  AND</w:t>
      </w:r>
      <w:proofErr w:type="gramEnd"/>
      <w:r w:rsidRPr="00C2262D">
        <w:rPr>
          <w:b/>
          <w:sz w:val="24"/>
          <w:szCs w:val="24"/>
        </w:rPr>
        <w:t xml:space="preserve"> INDIVIDUALS ENDORSING THIS </w:t>
      </w:r>
      <w:r>
        <w:rPr>
          <w:b/>
          <w:sz w:val="24"/>
          <w:szCs w:val="24"/>
        </w:rPr>
        <w:t>MEMORANDUM</w:t>
      </w:r>
    </w:p>
    <w:p w14:paraId="08473ECE" w14:textId="77777777" w:rsidR="00E33A0A" w:rsidRDefault="00E33A0A" w:rsidP="00E33A0A">
      <w:pPr>
        <w:pStyle w:val="ListParagraph"/>
        <w:numPr>
          <w:ilvl w:val="0"/>
          <w:numId w:val="1"/>
        </w:numPr>
      </w:pPr>
      <w:r>
        <w:t xml:space="preserve">Archana </w:t>
      </w:r>
      <w:proofErr w:type="spellStart"/>
      <w:r>
        <w:t>Diwedi</w:t>
      </w:r>
      <w:proofErr w:type="spellEnd"/>
      <w:r>
        <w:t xml:space="preserve">, </w:t>
      </w:r>
      <w:proofErr w:type="spellStart"/>
      <w:r>
        <w:t>Nirantar</w:t>
      </w:r>
      <w:proofErr w:type="spellEnd"/>
      <w:r>
        <w:t xml:space="preserve"> Trust, New Delhi</w:t>
      </w:r>
    </w:p>
    <w:p w14:paraId="4B7CB02D" w14:textId="77777777" w:rsidR="00E33A0A" w:rsidRDefault="00E33A0A" w:rsidP="00E33A0A">
      <w:pPr>
        <w:pStyle w:val="ListParagraph"/>
        <w:numPr>
          <w:ilvl w:val="0"/>
          <w:numId w:val="1"/>
        </w:numPr>
      </w:pPr>
      <w:r>
        <w:t>Amita Pitre, Oxfam- India, New Delhi</w:t>
      </w:r>
    </w:p>
    <w:p w14:paraId="097F81AC" w14:textId="77777777" w:rsidR="00E33A0A" w:rsidRDefault="00E33A0A" w:rsidP="00E33A0A">
      <w:pPr>
        <w:pStyle w:val="ListParagraph"/>
        <w:numPr>
          <w:ilvl w:val="0"/>
          <w:numId w:val="1"/>
        </w:numPr>
      </w:pPr>
      <w:r>
        <w:t xml:space="preserve">Arvind Ojha, URMUL Trust, Rajasthan </w:t>
      </w:r>
    </w:p>
    <w:p w14:paraId="7B9E565B" w14:textId="77777777" w:rsidR="00E33A0A" w:rsidRDefault="00E33A0A" w:rsidP="00E33A0A">
      <w:pPr>
        <w:pStyle w:val="ListParagraph"/>
        <w:numPr>
          <w:ilvl w:val="0"/>
          <w:numId w:val="1"/>
        </w:numPr>
      </w:pPr>
      <w:r>
        <w:t>Asha Bajpai, Child Rights Expert, Mumbai. Maharashtra</w:t>
      </w:r>
    </w:p>
    <w:p w14:paraId="0463EE14" w14:textId="77777777" w:rsidR="00E33A0A" w:rsidRDefault="00E33A0A" w:rsidP="00E33A0A">
      <w:pPr>
        <w:pStyle w:val="ListParagraph"/>
        <w:numPr>
          <w:ilvl w:val="0"/>
          <w:numId w:val="1"/>
        </w:numPr>
      </w:pPr>
      <w:proofErr w:type="spellStart"/>
      <w:r>
        <w:t>Baitali</w:t>
      </w:r>
      <w:proofErr w:type="spellEnd"/>
      <w:r>
        <w:t xml:space="preserve"> </w:t>
      </w:r>
      <w:proofErr w:type="spellStart"/>
      <w:r>
        <w:t>Ganguly</w:t>
      </w:r>
      <w:proofErr w:type="spellEnd"/>
      <w:r>
        <w:t xml:space="preserve">, </w:t>
      </w:r>
      <w:proofErr w:type="spellStart"/>
      <w:r>
        <w:t>Jabala</w:t>
      </w:r>
      <w:proofErr w:type="spellEnd"/>
      <w:r>
        <w:t xml:space="preserve"> Action Research Organisation, Kolkata, West Bengal</w:t>
      </w:r>
    </w:p>
    <w:p w14:paraId="08B1230D" w14:textId="77777777" w:rsidR="00E33A0A" w:rsidRDefault="00E33A0A" w:rsidP="00E33A0A">
      <w:pPr>
        <w:pStyle w:val="ListParagraph"/>
        <w:numPr>
          <w:ilvl w:val="0"/>
          <w:numId w:val="1"/>
        </w:numPr>
      </w:pPr>
      <w:r>
        <w:t xml:space="preserve">Bharat, Vishakha, Jaipur, Rajasthan </w:t>
      </w:r>
    </w:p>
    <w:p w14:paraId="0E9A5C87" w14:textId="77777777" w:rsidR="00E33A0A" w:rsidRDefault="00E33A0A" w:rsidP="00E33A0A">
      <w:pPr>
        <w:pStyle w:val="ListParagraph"/>
        <w:numPr>
          <w:ilvl w:val="0"/>
          <w:numId w:val="1"/>
        </w:numPr>
      </w:pPr>
      <w:r>
        <w:t>Bharti Ali, HAQ: Centre for Child Rights, New Delhi</w:t>
      </w:r>
    </w:p>
    <w:p w14:paraId="52DC605D" w14:textId="45EBA835" w:rsidR="00E33A0A" w:rsidRDefault="00E33A0A" w:rsidP="00E33A0A">
      <w:pPr>
        <w:pStyle w:val="ListParagraph"/>
        <w:numPr>
          <w:ilvl w:val="0"/>
          <w:numId w:val="1"/>
        </w:numPr>
      </w:pPr>
      <w:r>
        <w:t>Bharti Sharma, Shakti Shalini, New Delhi</w:t>
      </w:r>
    </w:p>
    <w:p w14:paraId="6B69A7E6" w14:textId="77777777" w:rsidR="00E33A0A" w:rsidRDefault="00E33A0A" w:rsidP="00E33A0A">
      <w:pPr>
        <w:pStyle w:val="ListParagraph"/>
        <w:numPr>
          <w:ilvl w:val="0"/>
          <w:numId w:val="1"/>
        </w:numPr>
      </w:pPr>
      <w:proofErr w:type="spellStart"/>
      <w:r>
        <w:t>Enakshi</w:t>
      </w:r>
      <w:proofErr w:type="spellEnd"/>
      <w:r>
        <w:t xml:space="preserve"> </w:t>
      </w:r>
      <w:proofErr w:type="spellStart"/>
      <w:r>
        <w:t>Ganguly</w:t>
      </w:r>
      <w:proofErr w:type="spellEnd"/>
      <w:r>
        <w:t>, Co-Founder- HAQ: Centre for Child Rights and Honorary Professor, National Law University, Odisha</w:t>
      </w:r>
    </w:p>
    <w:p w14:paraId="4F5B13C5" w14:textId="77777777" w:rsidR="00E33A0A" w:rsidRDefault="00E33A0A" w:rsidP="00E33A0A">
      <w:pPr>
        <w:pStyle w:val="ListParagraph"/>
        <w:numPr>
          <w:ilvl w:val="0"/>
          <w:numId w:val="1"/>
        </w:numPr>
      </w:pPr>
      <w:r>
        <w:t>Ghasiram Panda, Action Aid Association India, Odisha</w:t>
      </w:r>
    </w:p>
    <w:p w14:paraId="74125816" w14:textId="77777777" w:rsidR="00E33A0A" w:rsidRDefault="00E33A0A" w:rsidP="00E33A0A">
      <w:pPr>
        <w:pStyle w:val="ListParagraph"/>
        <w:numPr>
          <w:ilvl w:val="0"/>
          <w:numId w:val="1"/>
        </w:numPr>
      </w:pPr>
      <w:r>
        <w:t>Gayatri Sharma, Women Power Connect, New Delhi</w:t>
      </w:r>
    </w:p>
    <w:p w14:paraId="7ECA36EE" w14:textId="77777777" w:rsidR="00E33A0A" w:rsidRDefault="00E33A0A" w:rsidP="00E33A0A">
      <w:pPr>
        <w:pStyle w:val="ListParagraph"/>
        <w:numPr>
          <w:ilvl w:val="0"/>
          <w:numId w:val="1"/>
        </w:numPr>
      </w:pPr>
      <w:r>
        <w:t xml:space="preserve">Indira Pancholi, </w:t>
      </w:r>
      <w:proofErr w:type="spellStart"/>
      <w:r>
        <w:t>Mahila</w:t>
      </w:r>
      <w:proofErr w:type="spellEnd"/>
      <w:r>
        <w:t xml:space="preserve"> </w:t>
      </w:r>
      <w:proofErr w:type="spellStart"/>
      <w:r>
        <w:t>Janadhikar</w:t>
      </w:r>
      <w:proofErr w:type="spellEnd"/>
      <w:r>
        <w:t xml:space="preserve"> Samiti, Ajmer, Rajasthan</w:t>
      </w:r>
    </w:p>
    <w:p w14:paraId="2EAA3AE1" w14:textId="77777777" w:rsidR="00E33A0A" w:rsidRDefault="00E33A0A" w:rsidP="00E33A0A">
      <w:pPr>
        <w:pStyle w:val="ListParagraph"/>
        <w:numPr>
          <w:ilvl w:val="0"/>
          <w:numId w:val="1"/>
        </w:numPr>
      </w:pPr>
      <w:proofErr w:type="spellStart"/>
      <w:r>
        <w:t>Jashodhara</w:t>
      </w:r>
      <w:proofErr w:type="spellEnd"/>
      <w:r>
        <w:t xml:space="preserve"> Dasgupta, </w:t>
      </w:r>
      <w:proofErr w:type="gramStart"/>
      <w:r>
        <w:t>Independent  Researcher</w:t>
      </w:r>
      <w:proofErr w:type="gramEnd"/>
      <w:r>
        <w:t>, New Delhi</w:t>
      </w:r>
    </w:p>
    <w:p w14:paraId="53A18B4D" w14:textId="77777777" w:rsidR="00E33A0A" w:rsidRDefault="00E33A0A" w:rsidP="00E33A0A">
      <w:pPr>
        <w:pStyle w:val="ListParagraph"/>
        <w:numPr>
          <w:ilvl w:val="0"/>
          <w:numId w:val="1"/>
        </w:numPr>
      </w:pPr>
      <w:r>
        <w:t xml:space="preserve">Javid Sayyid, Director, American Jewish World Service </w:t>
      </w:r>
      <w:proofErr w:type="gramStart"/>
      <w:r>
        <w:t>( AJWS</w:t>
      </w:r>
      <w:proofErr w:type="gramEnd"/>
      <w:r>
        <w:t>)</w:t>
      </w:r>
    </w:p>
    <w:p w14:paraId="7769E056" w14:textId="77777777" w:rsidR="00E33A0A" w:rsidRDefault="00E33A0A" w:rsidP="00E33A0A">
      <w:pPr>
        <w:pStyle w:val="ListParagraph"/>
        <w:numPr>
          <w:ilvl w:val="0"/>
          <w:numId w:val="1"/>
        </w:numPr>
      </w:pPr>
      <w:r>
        <w:t>Kavita Ratna, The Concerned for Working Children, Bangalore, Karnataka</w:t>
      </w:r>
    </w:p>
    <w:p w14:paraId="33D03B81" w14:textId="77777777" w:rsidR="00E33A0A" w:rsidRDefault="00E33A0A" w:rsidP="00E33A0A">
      <w:pPr>
        <w:pStyle w:val="ListParagraph"/>
        <w:numPr>
          <w:ilvl w:val="0"/>
          <w:numId w:val="1"/>
        </w:numPr>
      </w:pPr>
      <w:r>
        <w:t>Karuna Bishnoi, Independent Child Rights Expert, New Delhi</w:t>
      </w:r>
    </w:p>
    <w:p w14:paraId="56878BDE" w14:textId="77777777" w:rsidR="00E33A0A" w:rsidRDefault="00E33A0A" w:rsidP="00E33A0A">
      <w:pPr>
        <w:pStyle w:val="ListParagraph"/>
        <w:numPr>
          <w:ilvl w:val="0"/>
          <w:numId w:val="1"/>
        </w:numPr>
      </w:pPr>
      <w:r>
        <w:t xml:space="preserve">Kiran Modi, </w:t>
      </w:r>
      <w:proofErr w:type="spellStart"/>
      <w:r>
        <w:t>Udayan</w:t>
      </w:r>
      <w:proofErr w:type="spellEnd"/>
      <w:r>
        <w:t xml:space="preserve"> Care, New Delhi</w:t>
      </w:r>
    </w:p>
    <w:p w14:paraId="290DB2D8" w14:textId="77777777" w:rsidR="00E33A0A" w:rsidRDefault="00E33A0A" w:rsidP="00E33A0A">
      <w:pPr>
        <w:pStyle w:val="ListParagraph"/>
        <w:numPr>
          <w:ilvl w:val="0"/>
          <w:numId w:val="1"/>
        </w:numPr>
      </w:pPr>
      <w:r>
        <w:t>Madhu Mehra, Partners for Law and Development, New Delhi</w:t>
      </w:r>
    </w:p>
    <w:p w14:paraId="0D92D13A" w14:textId="77777777" w:rsidR="00E33A0A" w:rsidRDefault="00E33A0A" w:rsidP="00E33A0A">
      <w:pPr>
        <w:pStyle w:val="ListParagraph"/>
        <w:numPr>
          <w:ilvl w:val="0"/>
          <w:numId w:val="1"/>
        </w:numPr>
      </w:pPr>
      <w:r>
        <w:t xml:space="preserve">Mary John, Centre for Women’s Development Studies, New Delhi </w:t>
      </w:r>
    </w:p>
    <w:p w14:paraId="54715FDB" w14:textId="77777777" w:rsidR="00E33A0A" w:rsidRDefault="00E33A0A" w:rsidP="00E33A0A">
      <w:pPr>
        <w:pStyle w:val="ListParagraph"/>
        <w:numPr>
          <w:ilvl w:val="0"/>
          <w:numId w:val="1"/>
        </w:numPr>
      </w:pPr>
      <w:r>
        <w:t xml:space="preserve">Manak </w:t>
      </w:r>
      <w:proofErr w:type="spellStart"/>
      <w:r>
        <w:t>Matiyani</w:t>
      </w:r>
      <w:proofErr w:type="spellEnd"/>
      <w:r>
        <w:t>, The YP Foundation, Delhi</w:t>
      </w:r>
    </w:p>
    <w:p w14:paraId="1C7740D5" w14:textId="77777777" w:rsidR="00E33A0A" w:rsidRDefault="00E33A0A" w:rsidP="00E33A0A">
      <w:pPr>
        <w:pStyle w:val="ListParagraph"/>
        <w:numPr>
          <w:ilvl w:val="0"/>
          <w:numId w:val="1"/>
        </w:numPr>
      </w:pPr>
      <w:r>
        <w:t>Mahesh Menon, Sai University, Chennai, Tamil Nadu</w:t>
      </w:r>
    </w:p>
    <w:p w14:paraId="25FEF0EA" w14:textId="77777777" w:rsidR="00E33A0A" w:rsidRDefault="00E33A0A" w:rsidP="00E33A0A">
      <w:pPr>
        <w:pStyle w:val="ListParagraph"/>
        <w:numPr>
          <w:ilvl w:val="0"/>
          <w:numId w:val="1"/>
        </w:numPr>
      </w:pPr>
      <w:r>
        <w:t xml:space="preserve">Nicole Rangel, </w:t>
      </w:r>
      <w:proofErr w:type="spellStart"/>
      <w:r>
        <w:t>Leher</w:t>
      </w:r>
      <w:proofErr w:type="spellEnd"/>
      <w:r>
        <w:t>, New Delhi</w:t>
      </w:r>
    </w:p>
    <w:p w14:paraId="406D0A10" w14:textId="77777777" w:rsidR="00E33A0A" w:rsidRDefault="00E33A0A" w:rsidP="00E33A0A">
      <w:pPr>
        <w:pStyle w:val="ListParagraph"/>
        <w:numPr>
          <w:ilvl w:val="0"/>
          <w:numId w:val="1"/>
        </w:numPr>
      </w:pPr>
      <w:r>
        <w:t>Nidhi Bansal, CARE India, New Delhi</w:t>
      </w:r>
    </w:p>
    <w:p w14:paraId="3227E579" w14:textId="77777777" w:rsidR="00E33A0A" w:rsidRDefault="00E33A0A" w:rsidP="00E33A0A">
      <w:pPr>
        <w:pStyle w:val="ListParagraph"/>
        <w:numPr>
          <w:ilvl w:val="0"/>
          <w:numId w:val="1"/>
        </w:numPr>
      </w:pPr>
      <w:r>
        <w:t xml:space="preserve">Sandhya VK, </w:t>
      </w:r>
      <w:proofErr w:type="spellStart"/>
      <w:r>
        <w:t>Sahayog</w:t>
      </w:r>
      <w:proofErr w:type="spellEnd"/>
      <w:r>
        <w:t>, Lucknow, UP</w:t>
      </w:r>
    </w:p>
    <w:p w14:paraId="7C80933C" w14:textId="6B9D6585" w:rsidR="00C04176" w:rsidRDefault="00C04176" w:rsidP="00C04176">
      <w:pPr>
        <w:pStyle w:val="ListParagraph"/>
        <w:numPr>
          <w:ilvl w:val="0"/>
          <w:numId w:val="1"/>
        </w:numPr>
      </w:pPr>
      <w:r>
        <w:t xml:space="preserve">Poonam </w:t>
      </w:r>
      <w:proofErr w:type="spellStart"/>
      <w:r>
        <w:t>Kathuria</w:t>
      </w:r>
      <w:proofErr w:type="spellEnd"/>
      <w:r>
        <w:t>, SWATI, Gujarat</w:t>
      </w:r>
    </w:p>
    <w:p w14:paraId="104CA1EB" w14:textId="0BC7EEAF" w:rsidR="00C04176" w:rsidRDefault="00C04176" w:rsidP="00C04176">
      <w:pPr>
        <w:pStyle w:val="ListParagraph"/>
        <w:numPr>
          <w:ilvl w:val="0"/>
          <w:numId w:val="1"/>
        </w:numPr>
      </w:pPr>
      <w:r>
        <w:t>Prabhat Kumar, Save the Children India, Gurgaon</w:t>
      </w:r>
    </w:p>
    <w:p w14:paraId="3F9B2EBF" w14:textId="77777777" w:rsidR="00E33A0A" w:rsidRDefault="00E33A0A" w:rsidP="00E33A0A">
      <w:pPr>
        <w:pStyle w:val="ListParagraph"/>
        <w:numPr>
          <w:ilvl w:val="0"/>
          <w:numId w:val="1"/>
        </w:numPr>
      </w:pPr>
      <w:r>
        <w:t xml:space="preserve">Prasanna </w:t>
      </w:r>
      <w:proofErr w:type="spellStart"/>
      <w:r>
        <w:t>Gettu</w:t>
      </w:r>
      <w:proofErr w:type="spellEnd"/>
      <w:r>
        <w:t xml:space="preserve">, PCVC, Chennai </w:t>
      </w:r>
    </w:p>
    <w:p w14:paraId="72181633" w14:textId="77777777" w:rsidR="00E33A0A" w:rsidRDefault="00E33A0A" w:rsidP="00E33A0A">
      <w:pPr>
        <w:pStyle w:val="ListParagraph"/>
        <w:numPr>
          <w:ilvl w:val="0"/>
          <w:numId w:val="1"/>
        </w:numPr>
      </w:pPr>
      <w:r>
        <w:t>Rashmi Singh, Independent Researcher, New Delhi</w:t>
      </w:r>
    </w:p>
    <w:p w14:paraId="2118A0DC" w14:textId="443C5A2A" w:rsidR="00E33A0A" w:rsidRPr="006C22C6" w:rsidRDefault="00E33A0A" w:rsidP="00E33A0A">
      <w:pPr>
        <w:pStyle w:val="ListParagraph"/>
        <w:numPr>
          <w:ilvl w:val="0"/>
          <w:numId w:val="1"/>
        </w:numPr>
      </w:pPr>
      <w:r>
        <w:t xml:space="preserve">Ravi Verma, ICRW, New Delhi </w:t>
      </w:r>
    </w:p>
    <w:p w14:paraId="48DFD4FD" w14:textId="77777777" w:rsidR="00E33A0A" w:rsidRDefault="00E33A0A" w:rsidP="00E33A0A">
      <w:pPr>
        <w:pStyle w:val="ListParagraph"/>
        <w:numPr>
          <w:ilvl w:val="0"/>
          <w:numId w:val="1"/>
        </w:numPr>
      </w:pPr>
      <w:proofErr w:type="spellStart"/>
      <w:r>
        <w:t>Renu</w:t>
      </w:r>
      <w:proofErr w:type="spellEnd"/>
      <w:r>
        <w:t xml:space="preserve"> Khanna, SAHAJ, Gujarat</w:t>
      </w:r>
    </w:p>
    <w:p w14:paraId="4DFAC92C" w14:textId="77777777" w:rsidR="00E33A0A" w:rsidRDefault="00E33A0A" w:rsidP="00E33A0A">
      <w:pPr>
        <w:pStyle w:val="ListParagraph"/>
        <w:numPr>
          <w:ilvl w:val="0"/>
          <w:numId w:val="1"/>
        </w:numPr>
      </w:pPr>
      <w:proofErr w:type="spellStart"/>
      <w:r>
        <w:t>Rimjhim</w:t>
      </w:r>
      <w:proofErr w:type="spellEnd"/>
      <w:r>
        <w:t xml:space="preserve"> Jain, CHSJ, New Delhi</w:t>
      </w:r>
    </w:p>
    <w:p w14:paraId="29047FF7" w14:textId="77777777" w:rsidR="00E33A0A" w:rsidRDefault="00E33A0A" w:rsidP="00E33A0A">
      <w:pPr>
        <w:pStyle w:val="ListParagraph"/>
        <w:numPr>
          <w:ilvl w:val="0"/>
          <w:numId w:val="1"/>
        </w:numPr>
      </w:pPr>
      <w:proofErr w:type="spellStart"/>
      <w:r w:rsidRPr="00EF21DB">
        <w:t>Shantha</w:t>
      </w:r>
      <w:proofErr w:type="spellEnd"/>
      <w:r w:rsidRPr="00EF21DB">
        <w:t xml:space="preserve"> </w:t>
      </w:r>
      <w:proofErr w:type="gramStart"/>
      <w:r w:rsidRPr="00EF21DB">
        <w:t>Sinha ,</w:t>
      </w:r>
      <w:proofErr w:type="gramEnd"/>
      <w:r>
        <w:t xml:space="preserve"> Former Chairperson, NCPCR</w:t>
      </w:r>
      <w:r w:rsidRPr="00EF21DB">
        <w:t xml:space="preserve"> </w:t>
      </w:r>
    </w:p>
    <w:p w14:paraId="2CADFE8C" w14:textId="77777777" w:rsidR="00E33A0A" w:rsidRDefault="00E33A0A" w:rsidP="00E33A0A">
      <w:pPr>
        <w:pStyle w:val="ListParagraph"/>
        <w:numPr>
          <w:ilvl w:val="0"/>
          <w:numId w:val="1"/>
        </w:numPr>
      </w:pPr>
      <w:r>
        <w:t>Sneha Mishra, AAINA, Odisha</w:t>
      </w:r>
    </w:p>
    <w:p w14:paraId="2A0B1634" w14:textId="77777777" w:rsidR="00E33A0A" w:rsidRDefault="00E33A0A" w:rsidP="00E33A0A">
      <w:pPr>
        <w:pStyle w:val="ListParagraph"/>
        <w:numPr>
          <w:ilvl w:val="0"/>
          <w:numId w:val="1"/>
        </w:numPr>
      </w:pPr>
      <w:r>
        <w:t xml:space="preserve">Sushmita Mukherjee, Project Concern India, New Delhi </w:t>
      </w:r>
    </w:p>
    <w:p w14:paraId="065F9E76" w14:textId="77777777" w:rsidR="00E33A0A" w:rsidRDefault="00E33A0A" w:rsidP="00E33A0A">
      <w:pPr>
        <w:pStyle w:val="ListParagraph"/>
        <w:numPr>
          <w:ilvl w:val="0"/>
          <w:numId w:val="1"/>
        </w:numPr>
      </w:pPr>
      <w:r>
        <w:t>Swagata Raha, Enfold Proactive Health Trust, Bangalore, Karnataka</w:t>
      </w:r>
    </w:p>
    <w:p w14:paraId="1D4ED8FB" w14:textId="77777777" w:rsidR="00E33A0A" w:rsidRDefault="00E33A0A" w:rsidP="00E33A0A">
      <w:pPr>
        <w:pStyle w:val="ListParagraph"/>
        <w:numPr>
          <w:ilvl w:val="0"/>
          <w:numId w:val="1"/>
        </w:numPr>
      </w:pPr>
      <w:r>
        <w:t>Anuradha Kapoor, SWAYAM, Kolkata</w:t>
      </w:r>
    </w:p>
    <w:p w14:paraId="74E6CCED" w14:textId="77777777" w:rsidR="00E33A0A" w:rsidRDefault="00E33A0A" w:rsidP="00E33A0A">
      <w:pPr>
        <w:pStyle w:val="ListParagraph"/>
        <w:numPr>
          <w:ilvl w:val="0"/>
          <w:numId w:val="1"/>
        </w:numPr>
      </w:pPr>
      <w:r>
        <w:t xml:space="preserve">Shipra Jha, </w:t>
      </w:r>
      <w:r w:rsidRPr="0003014C">
        <w:rPr>
          <w:i/>
        </w:rPr>
        <w:t>Girls Not Brides</w:t>
      </w:r>
    </w:p>
    <w:p w14:paraId="5E3ECADC" w14:textId="2C8C0561" w:rsidR="008A4A35" w:rsidRDefault="008A4A35" w:rsidP="00E33A0A">
      <w:pPr>
        <w:pStyle w:val="ListParagraph"/>
        <w:numPr>
          <w:ilvl w:val="0"/>
          <w:numId w:val="1"/>
        </w:numPr>
      </w:pPr>
      <w:r>
        <w:t>Urvashi Gandhi, Breakthrough India Trust</w:t>
      </w:r>
      <w:r w:rsidR="009C1AC2">
        <w:rPr>
          <w:rStyle w:val="FootnoteReference"/>
        </w:rPr>
        <w:footnoteReference w:id="3"/>
      </w:r>
    </w:p>
    <w:p w14:paraId="5550A5B2" w14:textId="7D73CAFA" w:rsidR="00E33A0A" w:rsidRDefault="00E33A0A" w:rsidP="00E33A0A">
      <w:pPr>
        <w:pStyle w:val="ListParagraph"/>
        <w:numPr>
          <w:ilvl w:val="0"/>
          <w:numId w:val="1"/>
        </w:numPr>
      </w:pPr>
      <w:r>
        <w:t>Vanita Nayak Mukherjee, Independent Researcher and Gender Expert, New Delhi</w:t>
      </w:r>
    </w:p>
    <w:p w14:paraId="11F17269" w14:textId="77777777" w:rsidR="00E33A0A" w:rsidRDefault="00E33A0A" w:rsidP="00E33A0A">
      <w:pPr>
        <w:pStyle w:val="ListParagraph"/>
        <w:numPr>
          <w:ilvl w:val="0"/>
          <w:numId w:val="1"/>
        </w:numPr>
      </w:pPr>
      <w:r>
        <w:t>Venkat Reddy, MV Foundation, Hyderabad, Telangana</w:t>
      </w:r>
    </w:p>
    <w:p w14:paraId="76BEEA54" w14:textId="77777777" w:rsidR="00E33A0A" w:rsidRDefault="00E33A0A" w:rsidP="00E33A0A">
      <w:pPr>
        <w:pStyle w:val="ListParagraph"/>
        <w:numPr>
          <w:ilvl w:val="0"/>
          <w:numId w:val="1"/>
        </w:numPr>
      </w:pPr>
      <w:r>
        <w:t>Vipin Bhatt, Independent Legal Expert, New Delhi</w:t>
      </w:r>
    </w:p>
    <w:p w14:paraId="15307D99" w14:textId="77777777" w:rsidR="00E33A0A" w:rsidRDefault="00E33A0A" w:rsidP="00E33A0A">
      <w:pPr>
        <w:pStyle w:val="ListParagraph"/>
        <w:numPr>
          <w:ilvl w:val="0"/>
          <w:numId w:val="1"/>
        </w:numPr>
      </w:pPr>
      <w:r>
        <w:t xml:space="preserve">Yogesh, </w:t>
      </w:r>
      <w:proofErr w:type="spellStart"/>
      <w:r>
        <w:t>Vikalp</w:t>
      </w:r>
      <w:proofErr w:type="spellEnd"/>
      <w:r>
        <w:t xml:space="preserve"> </w:t>
      </w:r>
      <w:proofErr w:type="spellStart"/>
      <w:r>
        <w:t>Sansthan</w:t>
      </w:r>
      <w:proofErr w:type="spellEnd"/>
      <w:r>
        <w:t>, Udaipur, Rajasthan</w:t>
      </w:r>
    </w:p>
    <w:p w14:paraId="3131E4E4" w14:textId="77777777" w:rsidR="00040A07" w:rsidRPr="00C2262D" w:rsidRDefault="00040A07" w:rsidP="00C2262D">
      <w:pPr>
        <w:spacing w:after="0" w:line="240" w:lineRule="auto"/>
        <w:jc w:val="both"/>
        <w:rPr>
          <w:rFonts w:asciiTheme="majorHAnsi" w:eastAsia="Times New Roman" w:hAnsiTheme="majorHAnsi" w:cstheme="majorHAnsi"/>
          <w:b/>
          <w:lang w:val="en-IN"/>
        </w:rPr>
      </w:pPr>
    </w:p>
    <w:p w14:paraId="37A0C7C1" w14:textId="531349B1" w:rsidR="00E33A0A" w:rsidRDefault="00E33A0A">
      <w:pPr>
        <w:rPr>
          <w:rFonts w:asciiTheme="majorHAnsi" w:eastAsia="Times New Roman" w:hAnsiTheme="majorHAnsi" w:cstheme="majorHAnsi"/>
          <w:b/>
          <w:lang w:val="en-IN"/>
        </w:rPr>
      </w:pPr>
      <w:r>
        <w:rPr>
          <w:rFonts w:asciiTheme="majorHAnsi" w:eastAsia="Times New Roman" w:hAnsiTheme="majorHAnsi" w:cstheme="majorHAnsi"/>
          <w:b/>
          <w:lang w:val="en-IN"/>
        </w:rPr>
        <w:br w:type="page"/>
      </w:r>
    </w:p>
    <w:p w14:paraId="25FEE8BD" w14:textId="77777777" w:rsidR="00C2262D" w:rsidRDefault="00C2262D" w:rsidP="00C2262D">
      <w:pPr>
        <w:spacing w:after="0" w:line="240" w:lineRule="auto"/>
        <w:jc w:val="both"/>
        <w:rPr>
          <w:rFonts w:asciiTheme="majorHAnsi" w:eastAsia="Times New Roman" w:hAnsiTheme="majorHAnsi" w:cstheme="majorHAnsi"/>
          <w:b/>
          <w:lang w:val="en-IN"/>
        </w:rPr>
      </w:pPr>
    </w:p>
    <w:p w14:paraId="00000035" w14:textId="45CF2A91" w:rsidR="00040A07" w:rsidRPr="00E33A0A" w:rsidRDefault="00447A33" w:rsidP="00C2262D">
      <w:pPr>
        <w:spacing w:after="0" w:line="240" w:lineRule="auto"/>
        <w:jc w:val="both"/>
        <w:rPr>
          <w:rFonts w:asciiTheme="majorHAnsi" w:eastAsia="Times New Roman" w:hAnsiTheme="majorHAnsi" w:cstheme="majorHAnsi"/>
          <w:b/>
          <w:sz w:val="28"/>
          <w:szCs w:val="28"/>
          <w:lang w:val="en-IN"/>
        </w:rPr>
      </w:pPr>
      <w:r w:rsidRPr="00E33A0A">
        <w:rPr>
          <w:rFonts w:asciiTheme="majorHAnsi" w:eastAsia="Times New Roman" w:hAnsiTheme="majorHAnsi" w:cstheme="majorHAnsi"/>
          <w:b/>
          <w:sz w:val="28"/>
          <w:szCs w:val="28"/>
          <w:lang w:val="en-IN"/>
        </w:rPr>
        <w:t>Endnotes and References</w:t>
      </w:r>
    </w:p>
    <w:sectPr w:rsidR="00040A07" w:rsidRPr="00E33A0A">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19E0" w14:textId="77777777" w:rsidR="007E1983" w:rsidRDefault="007E1983">
      <w:pPr>
        <w:spacing w:after="0" w:line="240" w:lineRule="auto"/>
      </w:pPr>
      <w:r>
        <w:separator/>
      </w:r>
    </w:p>
  </w:endnote>
  <w:endnote w:type="continuationSeparator" w:id="0">
    <w:p w14:paraId="0B506A5A" w14:textId="77777777" w:rsidR="007E1983" w:rsidRDefault="007E1983">
      <w:pPr>
        <w:spacing w:after="0" w:line="240" w:lineRule="auto"/>
      </w:pPr>
      <w:r>
        <w:continuationSeparator/>
      </w:r>
    </w:p>
  </w:endnote>
  <w:endnote w:id="1">
    <w:p w14:paraId="00000036" w14:textId="09C4FF31" w:rsidR="00511C99" w:rsidRPr="007C583D" w:rsidRDefault="00511C99" w:rsidP="00E33A0A">
      <w:pPr>
        <w:pBdr>
          <w:top w:val="nil"/>
          <w:left w:val="nil"/>
          <w:bottom w:val="nil"/>
          <w:right w:val="nil"/>
          <w:between w:val="nil"/>
        </w:pBdr>
        <w:spacing w:after="0" w:line="240" w:lineRule="auto"/>
        <w:rPr>
          <w:rFonts w:asciiTheme="majorHAnsi" w:hAnsiTheme="majorHAnsi" w:cstheme="majorHAnsi"/>
          <w:color w:val="000000"/>
          <w:sz w:val="20"/>
          <w:szCs w:val="20"/>
        </w:rPr>
      </w:pPr>
      <w:r>
        <w:rPr>
          <w:vertAlign w:val="superscript"/>
        </w:rPr>
        <w:endnoteRef/>
      </w:r>
      <w:r>
        <w:rPr>
          <w:color w:val="000000"/>
          <w:sz w:val="20"/>
          <w:szCs w:val="20"/>
        </w:rPr>
        <w:t xml:space="preserve"> </w:t>
      </w:r>
      <w:r w:rsidRPr="007C583D">
        <w:rPr>
          <w:rFonts w:asciiTheme="majorHAnsi" w:hAnsiTheme="majorHAnsi" w:cstheme="majorHAnsi"/>
          <w:color w:val="000000"/>
          <w:sz w:val="20"/>
          <w:szCs w:val="20"/>
        </w:rPr>
        <w:t>Ongoing study on Education, Work and Marriage in three States, C</w:t>
      </w:r>
      <w:r w:rsidR="008648EC" w:rsidRPr="007C583D">
        <w:rPr>
          <w:rFonts w:asciiTheme="majorHAnsi" w:hAnsiTheme="majorHAnsi" w:cstheme="majorHAnsi"/>
          <w:color w:val="000000"/>
          <w:sz w:val="20"/>
          <w:szCs w:val="20"/>
        </w:rPr>
        <w:t>entre for Women’s Development Studies</w:t>
      </w:r>
      <w:r w:rsidRPr="007C583D">
        <w:rPr>
          <w:rFonts w:asciiTheme="majorHAnsi" w:hAnsiTheme="majorHAnsi" w:cstheme="majorHAnsi"/>
          <w:color w:val="000000"/>
          <w:sz w:val="20"/>
          <w:szCs w:val="20"/>
        </w:rPr>
        <w:t xml:space="preserve"> with support from the Ford Foundation.</w:t>
      </w:r>
      <w:r w:rsidR="00D04D1E">
        <w:rPr>
          <w:rFonts w:asciiTheme="majorHAnsi" w:hAnsiTheme="majorHAnsi" w:cstheme="majorHAnsi"/>
          <w:color w:val="000000"/>
          <w:sz w:val="20"/>
          <w:szCs w:val="20"/>
        </w:rPr>
        <w:t xml:space="preserve">  All NFHS data in this note from unit level analysis undertaken in this study.  The study focused on three states – West Bengal, Rajasthan and Telangana.</w:t>
      </w:r>
    </w:p>
  </w:endnote>
  <w:endnote w:id="2">
    <w:p w14:paraId="00000037" w14:textId="77777777" w:rsidR="00511C99" w:rsidRPr="007C583D" w:rsidRDefault="00511C99" w:rsidP="00E33A0A">
      <w:pPr>
        <w:spacing w:after="0" w:line="240" w:lineRule="auto"/>
        <w:rPr>
          <w:rFonts w:asciiTheme="majorHAnsi" w:hAnsiTheme="majorHAnsi" w:cstheme="majorHAnsi"/>
          <w:sz w:val="20"/>
          <w:szCs w:val="20"/>
          <w:highlight w:val="white"/>
        </w:rPr>
      </w:pPr>
      <w:r w:rsidRPr="007C583D">
        <w:rPr>
          <w:rFonts w:asciiTheme="majorHAnsi" w:hAnsiTheme="majorHAnsi" w:cstheme="majorHAnsi"/>
          <w:sz w:val="20"/>
          <w:szCs w:val="20"/>
          <w:vertAlign w:val="superscript"/>
        </w:rPr>
        <w:endnoteRef/>
      </w:r>
      <w:r w:rsidRPr="007C583D">
        <w:rPr>
          <w:rFonts w:asciiTheme="majorHAnsi" w:hAnsiTheme="majorHAnsi" w:cstheme="majorHAnsi"/>
          <w:color w:val="000000"/>
          <w:sz w:val="20"/>
          <w:szCs w:val="20"/>
        </w:rPr>
        <w:t xml:space="preserve"> </w:t>
      </w:r>
      <w:r w:rsidRPr="007C583D">
        <w:rPr>
          <w:rFonts w:asciiTheme="majorHAnsi" w:hAnsiTheme="majorHAnsi" w:cstheme="majorHAnsi"/>
          <w:sz w:val="20"/>
          <w:szCs w:val="20"/>
          <w:highlight w:val="white"/>
        </w:rPr>
        <w:t>Kannabiran, Kalpana, Sujit Kumar Mishra, and S. Surapa Raju. 2017. “Investigating the Causes for Low Female Age at Marriage: The Case of Telangana and Andhra Pradesh.” </w:t>
      </w:r>
      <w:r w:rsidRPr="007C583D">
        <w:rPr>
          <w:rFonts w:asciiTheme="majorHAnsi" w:hAnsiTheme="majorHAnsi" w:cstheme="majorHAnsi"/>
          <w:i/>
          <w:sz w:val="20"/>
          <w:szCs w:val="20"/>
          <w:highlight w:val="white"/>
        </w:rPr>
        <w:t>Economic and Political Weekly</w:t>
      </w:r>
      <w:r w:rsidRPr="007C583D">
        <w:rPr>
          <w:rFonts w:asciiTheme="majorHAnsi" w:hAnsiTheme="majorHAnsi" w:cstheme="majorHAnsi"/>
          <w:sz w:val="20"/>
          <w:szCs w:val="20"/>
          <w:highlight w:val="white"/>
        </w:rPr>
        <w:t> 52 (18): 57-65.</w:t>
      </w:r>
    </w:p>
  </w:endnote>
  <w:endnote w:id="3">
    <w:p w14:paraId="00000038" w14:textId="61FCC003" w:rsidR="00511C99" w:rsidRPr="007C583D" w:rsidRDefault="00511C99" w:rsidP="00E33A0A">
      <w:pPr>
        <w:pBdr>
          <w:top w:val="nil"/>
          <w:left w:val="nil"/>
          <w:bottom w:val="nil"/>
          <w:right w:val="nil"/>
          <w:between w:val="nil"/>
        </w:pBdr>
        <w:spacing w:after="0" w:line="240" w:lineRule="auto"/>
        <w:rPr>
          <w:rFonts w:asciiTheme="majorHAnsi" w:hAnsiTheme="majorHAnsi" w:cstheme="majorHAnsi"/>
          <w:color w:val="000000"/>
          <w:sz w:val="20"/>
          <w:szCs w:val="20"/>
        </w:rPr>
      </w:pPr>
      <w:r w:rsidRPr="007C583D">
        <w:rPr>
          <w:rFonts w:asciiTheme="majorHAnsi" w:hAnsiTheme="majorHAnsi" w:cstheme="majorHAnsi"/>
          <w:sz w:val="20"/>
          <w:szCs w:val="20"/>
          <w:vertAlign w:val="superscript"/>
        </w:rPr>
        <w:endnoteRef/>
      </w:r>
      <w:r w:rsidRPr="007C583D">
        <w:rPr>
          <w:rFonts w:asciiTheme="majorHAnsi" w:hAnsiTheme="majorHAnsi" w:cstheme="majorHAnsi"/>
          <w:color w:val="000000"/>
          <w:sz w:val="20"/>
          <w:szCs w:val="20"/>
        </w:rPr>
        <w:t xml:space="preserve"> </w:t>
      </w:r>
      <w:r w:rsidR="00D04D1E">
        <w:rPr>
          <w:rFonts w:asciiTheme="majorHAnsi" w:hAnsiTheme="majorHAnsi" w:cstheme="majorHAnsi"/>
          <w:color w:val="000000"/>
          <w:sz w:val="20"/>
          <w:szCs w:val="20"/>
        </w:rPr>
        <w:t xml:space="preserve">ICRW forthcoming, No Voice, No Choice: Agency and Aspirations of Adolescent Girls on Marriage in Jharkhand, Baseline findings from UMANG Program;  </w:t>
      </w:r>
      <w:r w:rsidRPr="007C583D">
        <w:rPr>
          <w:rFonts w:asciiTheme="majorHAnsi" w:hAnsiTheme="majorHAnsi" w:cstheme="majorHAnsi"/>
          <w:color w:val="000000"/>
          <w:sz w:val="20"/>
          <w:szCs w:val="20"/>
        </w:rPr>
        <w:t xml:space="preserve">Srinivasan, Padmavathi; Khan, Nizamuddin; Verma, Ravi; Giusti, Dora; Theis, Joachim &amp; Chakraborty, Supriti. (2015). </w:t>
      </w:r>
      <w:r w:rsidRPr="007C583D">
        <w:rPr>
          <w:rFonts w:asciiTheme="majorHAnsi" w:hAnsiTheme="majorHAnsi" w:cstheme="majorHAnsi"/>
          <w:i/>
          <w:color w:val="000000"/>
          <w:sz w:val="20"/>
          <w:szCs w:val="20"/>
        </w:rPr>
        <w:t>District-level study on child marriage in India: What do we know about the prevalence, trends and patterns?</w:t>
      </w:r>
      <w:r w:rsidRPr="007C583D">
        <w:rPr>
          <w:rFonts w:asciiTheme="majorHAnsi" w:hAnsiTheme="majorHAnsi" w:cstheme="majorHAnsi"/>
          <w:color w:val="000000"/>
          <w:sz w:val="20"/>
          <w:szCs w:val="20"/>
        </w:rPr>
        <w:t xml:space="preserve"> New Delhi, India: International Center for Research on Women.</w:t>
      </w:r>
    </w:p>
  </w:endnote>
  <w:endnote w:id="4">
    <w:p w14:paraId="00000039" w14:textId="31032B34" w:rsidR="00511C99" w:rsidRPr="007C583D" w:rsidRDefault="00511C99" w:rsidP="00E33A0A">
      <w:pPr>
        <w:pBdr>
          <w:top w:val="nil"/>
          <w:left w:val="nil"/>
          <w:bottom w:val="nil"/>
          <w:right w:val="nil"/>
          <w:between w:val="nil"/>
        </w:pBdr>
        <w:spacing w:after="0" w:line="240" w:lineRule="auto"/>
        <w:rPr>
          <w:rFonts w:asciiTheme="majorHAnsi" w:hAnsiTheme="majorHAnsi" w:cstheme="majorHAnsi"/>
          <w:color w:val="000000"/>
          <w:sz w:val="20"/>
          <w:szCs w:val="20"/>
        </w:rPr>
      </w:pPr>
      <w:r w:rsidRPr="007C583D">
        <w:rPr>
          <w:rFonts w:asciiTheme="majorHAnsi" w:hAnsiTheme="majorHAnsi" w:cstheme="majorHAnsi"/>
          <w:sz w:val="20"/>
          <w:szCs w:val="20"/>
          <w:vertAlign w:val="superscript"/>
        </w:rPr>
        <w:endnoteRef/>
      </w:r>
      <w:r w:rsidRPr="007C583D">
        <w:rPr>
          <w:rFonts w:asciiTheme="majorHAnsi" w:hAnsiTheme="majorHAnsi" w:cstheme="majorHAnsi"/>
          <w:color w:val="000000"/>
          <w:sz w:val="20"/>
          <w:szCs w:val="20"/>
        </w:rPr>
        <w:t xml:space="preserve"> MV Foundation, 2016, Lost Childhood: Voices of Out of School </w:t>
      </w:r>
      <w:r w:rsidR="00EC62E0">
        <w:rPr>
          <w:rFonts w:asciiTheme="majorHAnsi" w:hAnsiTheme="majorHAnsi" w:cstheme="majorHAnsi"/>
          <w:color w:val="000000"/>
          <w:sz w:val="20"/>
          <w:szCs w:val="20"/>
        </w:rPr>
        <w:t>C</w:t>
      </w:r>
      <w:r w:rsidRPr="007C583D">
        <w:rPr>
          <w:rFonts w:asciiTheme="majorHAnsi" w:hAnsiTheme="majorHAnsi" w:cstheme="majorHAnsi"/>
          <w:color w:val="000000"/>
          <w:sz w:val="20"/>
          <w:szCs w:val="20"/>
        </w:rPr>
        <w:t>hildren in Tel</w:t>
      </w:r>
      <w:r w:rsidR="00D04D1E">
        <w:rPr>
          <w:rFonts w:asciiTheme="majorHAnsi" w:hAnsiTheme="majorHAnsi" w:cstheme="majorHAnsi"/>
          <w:color w:val="000000"/>
          <w:sz w:val="20"/>
          <w:szCs w:val="20"/>
        </w:rPr>
        <w:t>a</w:t>
      </w:r>
      <w:r w:rsidRPr="007C583D">
        <w:rPr>
          <w:rFonts w:asciiTheme="majorHAnsi" w:hAnsiTheme="majorHAnsi" w:cstheme="majorHAnsi"/>
          <w:color w:val="000000"/>
          <w:sz w:val="20"/>
          <w:szCs w:val="20"/>
        </w:rPr>
        <w:t>ngana.</w:t>
      </w:r>
    </w:p>
  </w:endnote>
  <w:endnote w:id="5">
    <w:p w14:paraId="085C93B9" w14:textId="70DCED9E" w:rsidR="00B95161" w:rsidRPr="00B95161" w:rsidRDefault="00B95161" w:rsidP="00E33A0A">
      <w:pPr>
        <w:pStyle w:val="EndnoteText"/>
      </w:pPr>
      <w:r>
        <w:rPr>
          <w:rStyle w:val="EndnoteReference"/>
        </w:rPr>
        <w:endnoteRef/>
      </w:r>
      <w:r>
        <w:t xml:space="preserve"> Nove A., Mathews Z., Neal S., Camacho A.V., “Maternal mortality in adolescents compared with women of other ages: </w:t>
      </w:r>
      <w:r w:rsidR="00EC62E0">
        <w:t>E</w:t>
      </w:r>
      <w:r>
        <w:t>vidence from 144 countries</w:t>
      </w:r>
      <w:r w:rsidR="00EC62E0">
        <w:t>”</w:t>
      </w:r>
      <w:r>
        <w:t xml:space="preserve">, </w:t>
      </w:r>
      <w:r>
        <w:rPr>
          <w:i/>
          <w:iCs/>
        </w:rPr>
        <w:t>The Lancet</w:t>
      </w:r>
      <w:r>
        <w:t>, vol.2, March 2014.</w:t>
      </w:r>
    </w:p>
  </w:endnote>
  <w:endnote w:id="6">
    <w:p w14:paraId="254B42AE" w14:textId="206FA7B7" w:rsidR="00BC102F" w:rsidRPr="007C583D" w:rsidRDefault="00BC102F" w:rsidP="00E33A0A">
      <w:pPr>
        <w:pStyle w:val="EndnoteText"/>
        <w:rPr>
          <w:rFonts w:asciiTheme="majorHAnsi" w:hAnsiTheme="majorHAnsi" w:cstheme="majorHAnsi"/>
        </w:rPr>
      </w:pPr>
      <w:r w:rsidRPr="007C583D">
        <w:rPr>
          <w:rStyle w:val="EndnoteReference"/>
          <w:rFonts w:asciiTheme="majorHAnsi" w:hAnsiTheme="majorHAnsi" w:cstheme="majorHAnsi"/>
        </w:rPr>
        <w:endnoteRef/>
      </w:r>
      <w:r w:rsidRPr="007C583D">
        <w:rPr>
          <w:rFonts w:asciiTheme="majorHAnsi" w:hAnsiTheme="majorHAnsi" w:cstheme="majorHAnsi"/>
        </w:rPr>
        <w:t xml:space="preserve"> </w:t>
      </w:r>
      <w:r w:rsidRPr="007C583D">
        <w:rPr>
          <w:rFonts w:asciiTheme="majorHAnsi" w:eastAsia="Arial" w:hAnsiTheme="majorHAnsi" w:cstheme="majorHAnsi"/>
          <w:color w:val="000000"/>
        </w:rPr>
        <w:t>Implementation of the POCSO Act, 2012 by the Special Courts: Challenges and Issues Centre for Child and the Law-NLSIU’s Studies on the Working of Special Courts in Five States (2018); https://bit.ly/2vuJwt1</w:t>
      </w:r>
    </w:p>
  </w:endnote>
  <w:endnote w:id="7">
    <w:p w14:paraId="0000003A" w14:textId="77777777" w:rsidR="00511C99" w:rsidRPr="007C583D" w:rsidRDefault="00511C99" w:rsidP="00E33A0A">
      <w:pPr>
        <w:pBdr>
          <w:top w:val="nil"/>
          <w:left w:val="nil"/>
          <w:bottom w:val="nil"/>
          <w:right w:val="nil"/>
          <w:between w:val="nil"/>
        </w:pBdr>
        <w:spacing w:after="0" w:line="240" w:lineRule="auto"/>
        <w:rPr>
          <w:rFonts w:asciiTheme="majorHAnsi" w:hAnsiTheme="majorHAnsi" w:cstheme="majorHAnsi"/>
          <w:color w:val="000000"/>
          <w:sz w:val="20"/>
          <w:szCs w:val="20"/>
        </w:rPr>
      </w:pPr>
      <w:r w:rsidRPr="007C583D">
        <w:rPr>
          <w:rFonts w:asciiTheme="majorHAnsi" w:hAnsiTheme="majorHAnsi" w:cstheme="majorHAnsi"/>
          <w:sz w:val="20"/>
          <w:szCs w:val="20"/>
          <w:vertAlign w:val="superscript"/>
        </w:rPr>
        <w:endnoteRef/>
      </w:r>
      <w:r w:rsidRPr="007C583D">
        <w:rPr>
          <w:rFonts w:asciiTheme="majorHAnsi" w:hAnsiTheme="majorHAnsi" w:cstheme="majorHAnsi"/>
          <w:color w:val="000000"/>
          <w:sz w:val="20"/>
          <w:szCs w:val="20"/>
        </w:rPr>
        <w:t xml:space="preserve"> Forthcoming (2020) study by Partners for Law in Development, based on a qualitative review of 83 cases from the District, High and Supreme Courts of India, from 2008-2017.</w:t>
      </w:r>
    </w:p>
  </w:endnote>
  <w:endnote w:id="8">
    <w:p w14:paraId="0000003C" w14:textId="0FFEEAED" w:rsidR="00511C99" w:rsidRPr="007C583D" w:rsidRDefault="00511C99" w:rsidP="00E33A0A">
      <w:pPr>
        <w:pBdr>
          <w:top w:val="nil"/>
          <w:left w:val="nil"/>
          <w:bottom w:val="nil"/>
          <w:right w:val="nil"/>
          <w:between w:val="nil"/>
        </w:pBdr>
        <w:spacing w:after="0" w:line="240" w:lineRule="auto"/>
        <w:rPr>
          <w:rFonts w:asciiTheme="majorHAnsi" w:hAnsiTheme="majorHAnsi" w:cstheme="majorHAnsi"/>
          <w:color w:val="000000"/>
          <w:sz w:val="20"/>
          <w:szCs w:val="20"/>
        </w:rPr>
      </w:pPr>
      <w:r w:rsidRPr="007C583D">
        <w:rPr>
          <w:rFonts w:asciiTheme="majorHAnsi" w:hAnsiTheme="majorHAnsi" w:cstheme="majorHAnsi"/>
          <w:sz w:val="20"/>
          <w:szCs w:val="20"/>
          <w:vertAlign w:val="superscript"/>
        </w:rPr>
        <w:endnoteRef/>
      </w:r>
      <w:r w:rsidRPr="007C583D">
        <w:rPr>
          <w:rFonts w:asciiTheme="majorHAnsi" w:hAnsiTheme="majorHAnsi" w:cstheme="majorHAnsi"/>
          <w:color w:val="000000"/>
          <w:sz w:val="20"/>
          <w:szCs w:val="20"/>
        </w:rPr>
        <w:t xml:space="preserve"> Madhu Mehra, </w:t>
      </w:r>
      <w:r w:rsidRPr="007C583D">
        <w:rPr>
          <w:rFonts w:asciiTheme="majorHAnsi" w:hAnsiTheme="majorHAnsi" w:cstheme="majorHAnsi"/>
          <w:i/>
          <w:color w:val="000000"/>
          <w:sz w:val="20"/>
          <w:szCs w:val="20"/>
        </w:rPr>
        <w:t>Grassroots Experiences of Using the Prohibition of Child Marriage Act, 2006</w:t>
      </w:r>
      <w:r w:rsidRPr="007C583D">
        <w:rPr>
          <w:rFonts w:asciiTheme="majorHAnsi" w:hAnsiTheme="majorHAnsi" w:cstheme="majorHAnsi"/>
          <w:color w:val="000000"/>
          <w:sz w:val="20"/>
          <w:szCs w:val="20"/>
        </w:rPr>
        <w:t xml:space="preserve">, Partners for Law in Development (2019), at </w:t>
      </w:r>
      <w:hyperlink r:id="rId1">
        <w:r w:rsidRPr="007C583D">
          <w:rPr>
            <w:rFonts w:asciiTheme="majorHAnsi" w:hAnsiTheme="majorHAnsi" w:cstheme="majorHAnsi"/>
            <w:color w:val="0563C1"/>
            <w:sz w:val="20"/>
            <w:szCs w:val="20"/>
            <w:u w:val="single"/>
          </w:rPr>
          <w:t>https://bit.ly/2Veg9FA</w:t>
        </w:r>
      </w:hyperlink>
      <w:r w:rsidRPr="007C583D">
        <w:rPr>
          <w:rFonts w:asciiTheme="majorHAnsi" w:hAnsiTheme="majorHAnsi" w:cstheme="majorHAnsi"/>
          <w:color w:val="000000"/>
          <w:sz w:val="20"/>
          <w:szCs w:val="20"/>
        </w:rPr>
        <w:t xml:space="preserve">. Mehra, Madhu and Nundy, Amrita, </w:t>
      </w:r>
      <w:r w:rsidRPr="007C583D">
        <w:rPr>
          <w:rFonts w:asciiTheme="majorHAnsi" w:hAnsiTheme="majorHAnsi" w:cstheme="majorHAnsi"/>
          <w:i/>
          <w:color w:val="000000"/>
          <w:sz w:val="20"/>
          <w:szCs w:val="20"/>
        </w:rPr>
        <w:t>Why Girls Run Away to Marry: Adolescent Realities and Socio-Legal Responses in India</w:t>
      </w:r>
      <w:r w:rsidRPr="007C583D">
        <w:rPr>
          <w:rFonts w:asciiTheme="majorHAnsi" w:hAnsiTheme="majorHAnsi" w:cstheme="majorHAnsi"/>
          <w:color w:val="000000"/>
          <w:sz w:val="20"/>
          <w:szCs w:val="20"/>
        </w:rPr>
        <w:t>, Partners for Law in Development (2019), at https://bit.ly/2YuyZu5</w:t>
      </w:r>
    </w:p>
  </w:endnote>
  <w:endnote w:id="9">
    <w:p w14:paraId="73AB796F" w14:textId="75C7E090" w:rsidR="00671703" w:rsidRPr="007C583D" w:rsidRDefault="00671703" w:rsidP="00E33A0A">
      <w:pPr>
        <w:widowControl w:val="0"/>
        <w:pBdr>
          <w:top w:val="nil"/>
          <w:left w:val="nil"/>
          <w:bottom w:val="nil"/>
          <w:right w:val="nil"/>
          <w:between w:val="nil"/>
        </w:pBdr>
        <w:spacing w:after="0" w:line="240" w:lineRule="auto"/>
        <w:rPr>
          <w:rFonts w:asciiTheme="majorHAnsi" w:hAnsiTheme="majorHAnsi" w:cstheme="majorHAnsi"/>
        </w:rPr>
      </w:pPr>
      <w:r w:rsidRPr="007C583D">
        <w:rPr>
          <w:rStyle w:val="EndnoteReference"/>
          <w:rFonts w:asciiTheme="majorHAnsi" w:hAnsiTheme="majorHAnsi" w:cstheme="majorHAnsi"/>
          <w:sz w:val="20"/>
          <w:szCs w:val="20"/>
        </w:rPr>
        <w:endnoteRef/>
      </w:r>
      <w:r w:rsidRPr="007C583D">
        <w:rPr>
          <w:rFonts w:asciiTheme="majorHAnsi" w:hAnsiTheme="majorHAnsi" w:cstheme="majorHAnsi"/>
          <w:sz w:val="20"/>
          <w:szCs w:val="20"/>
        </w:rPr>
        <w:t xml:space="preserve"> </w:t>
      </w:r>
      <w:r w:rsidRPr="007C583D">
        <w:rPr>
          <w:rFonts w:asciiTheme="majorHAnsi" w:eastAsia="Arial" w:hAnsiTheme="majorHAnsi" w:cstheme="majorHAnsi"/>
          <w:color w:val="000000"/>
          <w:sz w:val="20"/>
          <w:szCs w:val="20"/>
        </w:rPr>
        <w:t>See the Madras High Court's decision in Sabari v. Inspector of Police, Criminal Appeal No. 490 of 2018 decided on 26.04.2019.</w:t>
      </w:r>
    </w:p>
  </w:endnote>
  <w:endnote w:id="10">
    <w:p w14:paraId="0000003D" w14:textId="77777777" w:rsidR="00511C99" w:rsidRPr="007C583D" w:rsidRDefault="00511C99" w:rsidP="00E33A0A">
      <w:pPr>
        <w:spacing w:after="0" w:line="240" w:lineRule="auto"/>
        <w:rPr>
          <w:rFonts w:asciiTheme="majorHAnsi" w:hAnsiTheme="majorHAnsi" w:cstheme="majorHAnsi"/>
          <w:sz w:val="20"/>
          <w:szCs w:val="20"/>
        </w:rPr>
      </w:pPr>
      <w:r w:rsidRPr="007C583D">
        <w:rPr>
          <w:rFonts w:asciiTheme="majorHAnsi" w:hAnsiTheme="majorHAnsi" w:cstheme="majorHAnsi"/>
          <w:sz w:val="20"/>
          <w:szCs w:val="20"/>
          <w:vertAlign w:val="superscript"/>
        </w:rPr>
        <w:endnoteRef/>
      </w:r>
      <w:r w:rsidRPr="007C583D">
        <w:rPr>
          <w:rFonts w:asciiTheme="majorHAnsi" w:hAnsiTheme="majorHAnsi" w:cstheme="majorHAnsi"/>
          <w:sz w:val="20"/>
          <w:szCs w:val="20"/>
        </w:rPr>
        <w:t xml:space="preserve"> HAQ:Centre for Child Rights. </w:t>
      </w:r>
      <w:hyperlink r:id="rId2">
        <w:r w:rsidRPr="007C583D">
          <w:rPr>
            <w:rFonts w:asciiTheme="majorHAnsi" w:hAnsiTheme="majorHAnsi" w:cstheme="majorHAnsi"/>
            <w:color w:val="1155CC"/>
            <w:sz w:val="20"/>
            <w:szCs w:val="20"/>
            <w:u w:val="single"/>
          </w:rPr>
          <w:t>https://www.haqcrc.org/new-at-haq/report-of-the-child-marriage-prevention-programme-summary-report/</w:t>
        </w:r>
      </w:hyperlink>
      <w:r w:rsidRPr="007C583D">
        <w:rPr>
          <w:rFonts w:asciiTheme="majorHAnsi" w:hAnsiTheme="majorHAnsi" w:cstheme="majorHAnsi"/>
          <w:sz w:val="20"/>
          <w:szCs w:val="20"/>
        </w:rPr>
        <w:t xml:space="preserve">; </w:t>
      </w:r>
      <w:hyperlink r:id="rId3">
        <w:r w:rsidRPr="007C583D">
          <w:rPr>
            <w:rFonts w:asciiTheme="majorHAnsi" w:hAnsiTheme="majorHAnsi" w:cstheme="majorHAnsi"/>
            <w:color w:val="1155CC"/>
            <w:sz w:val="20"/>
            <w:szCs w:val="20"/>
            <w:u w:val="single"/>
          </w:rPr>
          <w:t>https://www.haqcrc.org/issue-based-publication/child-marriage/towards-ending-child-marriage-2018/</w:t>
        </w:r>
      </w:hyperlink>
    </w:p>
  </w:endnote>
  <w:endnote w:id="11">
    <w:p w14:paraId="4A54EFEB" w14:textId="77777777" w:rsidR="00D04D1E" w:rsidRDefault="00511C99" w:rsidP="00E33A0A">
      <w:pPr>
        <w:spacing w:after="0" w:line="240" w:lineRule="auto"/>
        <w:rPr>
          <w:rFonts w:asciiTheme="majorHAnsi" w:hAnsiTheme="majorHAnsi" w:cstheme="majorHAnsi"/>
          <w:color w:val="000000"/>
          <w:sz w:val="20"/>
          <w:szCs w:val="20"/>
        </w:rPr>
      </w:pPr>
      <w:r w:rsidRPr="007C583D">
        <w:rPr>
          <w:rFonts w:asciiTheme="majorHAnsi" w:hAnsiTheme="majorHAnsi" w:cstheme="majorHAnsi"/>
          <w:sz w:val="20"/>
          <w:szCs w:val="20"/>
          <w:vertAlign w:val="superscript"/>
        </w:rPr>
        <w:endnoteRef/>
      </w:r>
      <w:r w:rsidRPr="007C583D">
        <w:rPr>
          <w:rFonts w:asciiTheme="majorHAnsi" w:hAnsiTheme="majorHAnsi" w:cstheme="majorHAnsi"/>
          <w:color w:val="000000"/>
          <w:sz w:val="20"/>
          <w:szCs w:val="20"/>
        </w:rPr>
        <w:t xml:space="preserve"> Nanda, P; Das, P; Datta, N; Lamba, S; Pradhan, E; &amp; Warner, A. (2016) </w:t>
      </w:r>
      <w:r w:rsidRPr="007C583D">
        <w:rPr>
          <w:rFonts w:asciiTheme="majorHAnsi" w:hAnsiTheme="majorHAnsi" w:cstheme="majorHAnsi"/>
          <w:i/>
          <w:color w:val="000000"/>
          <w:sz w:val="20"/>
          <w:szCs w:val="20"/>
        </w:rPr>
        <w:t>Making Change with Cash? Impact of a Conditional Cash Transfer Program on Girls’ Education and Age of Marriage in India</w:t>
      </w:r>
      <w:r w:rsidRPr="007C583D">
        <w:rPr>
          <w:rFonts w:asciiTheme="majorHAnsi" w:hAnsiTheme="majorHAnsi" w:cstheme="majorHAnsi"/>
          <w:color w:val="000000"/>
          <w:sz w:val="20"/>
          <w:szCs w:val="20"/>
        </w:rPr>
        <w:t>. International Center for Research on Women</w:t>
      </w:r>
      <w:r w:rsidR="008648EC" w:rsidRPr="007C583D">
        <w:rPr>
          <w:rFonts w:asciiTheme="majorHAnsi" w:hAnsiTheme="majorHAnsi" w:cstheme="majorHAnsi"/>
          <w:color w:val="000000"/>
          <w:sz w:val="20"/>
          <w:szCs w:val="20"/>
        </w:rPr>
        <w:t xml:space="preserve">; </w:t>
      </w:r>
      <w:r w:rsidRPr="007C583D">
        <w:rPr>
          <w:rFonts w:asciiTheme="majorHAnsi" w:hAnsiTheme="majorHAnsi" w:cstheme="majorHAnsi"/>
          <w:color w:val="000000"/>
          <w:sz w:val="20"/>
          <w:szCs w:val="20"/>
        </w:rPr>
        <w:t xml:space="preserve"> </w:t>
      </w:r>
    </w:p>
    <w:p w14:paraId="0000003E" w14:textId="791B5F61" w:rsidR="00511C99" w:rsidRPr="00064F58" w:rsidRDefault="007C583D" w:rsidP="00E33A0A">
      <w:pPr>
        <w:spacing w:after="0" w:line="240" w:lineRule="auto"/>
        <w:rPr>
          <w:rFonts w:asciiTheme="majorHAnsi" w:hAnsiTheme="majorHAnsi" w:cstheme="majorHAnsi"/>
          <w:bCs/>
          <w:sz w:val="20"/>
          <w:szCs w:val="20"/>
        </w:rPr>
      </w:pPr>
      <w:r w:rsidRPr="007C583D">
        <w:rPr>
          <w:rFonts w:asciiTheme="majorHAnsi" w:hAnsiTheme="majorHAnsi" w:cstheme="majorHAnsi"/>
          <w:bCs/>
          <w:sz w:val="20"/>
          <w:szCs w:val="20"/>
        </w:rPr>
        <w:t xml:space="preserve">Vindhya, U., Nilanjana Ray, and Ujithra Ponniah 2019. </w:t>
      </w:r>
      <w:r w:rsidRPr="007C583D">
        <w:rPr>
          <w:rFonts w:asciiTheme="majorHAnsi" w:hAnsiTheme="majorHAnsi" w:cstheme="majorHAnsi"/>
          <w:bCs/>
          <w:i/>
          <w:sz w:val="20"/>
          <w:szCs w:val="20"/>
        </w:rPr>
        <w:t>Conditional Cash transfer schemes and Child marriages in Andhra and Telangana: An Exploratory Study.</w:t>
      </w:r>
      <w:r w:rsidRPr="007C583D">
        <w:rPr>
          <w:rFonts w:asciiTheme="majorHAnsi" w:hAnsiTheme="majorHAnsi" w:cstheme="majorHAnsi"/>
          <w:bCs/>
          <w:sz w:val="20"/>
          <w:szCs w:val="20"/>
        </w:rPr>
        <w:t xml:space="preserve"> Hyderabad: Tata Institute of Social Sciences. </w:t>
      </w:r>
    </w:p>
  </w:endnote>
  <w:endnote w:id="12">
    <w:p w14:paraId="0000003F" w14:textId="77777777" w:rsidR="00511C99" w:rsidRPr="007C583D" w:rsidRDefault="00511C99" w:rsidP="00E33A0A">
      <w:pPr>
        <w:spacing w:after="0" w:line="240" w:lineRule="auto"/>
        <w:rPr>
          <w:rFonts w:asciiTheme="majorHAnsi" w:hAnsiTheme="majorHAnsi" w:cstheme="majorHAnsi"/>
          <w:sz w:val="20"/>
          <w:szCs w:val="20"/>
        </w:rPr>
      </w:pPr>
      <w:r w:rsidRPr="007C583D">
        <w:rPr>
          <w:rFonts w:asciiTheme="majorHAnsi" w:hAnsiTheme="majorHAnsi" w:cstheme="majorHAnsi"/>
          <w:sz w:val="20"/>
          <w:szCs w:val="20"/>
          <w:vertAlign w:val="superscript"/>
        </w:rPr>
        <w:endnoteRef/>
      </w:r>
      <w:r w:rsidRPr="007C583D">
        <w:rPr>
          <w:rFonts w:asciiTheme="majorHAnsi" w:hAnsiTheme="majorHAnsi" w:cstheme="majorHAnsi"/>
          <w:sz w:val="20"/>
          <w:szCs w:val="20"/>
        </w:rPr>
        <w:t xml:space="preserve"> Impact of COVID 19 on India’s Family Planning Program Policy Brief. Foundation for Reproductive Health Services India (May 2020)</w:t>
      </w:r>
    </w:p>
  </w:endnote>
  <w:endnote w:id="13">
    <w:p w14:paraId="00000040" w14:textId="77777777" w:rsidR="00511C99" w:rsidRPr="007C583D" w:rsidRDefault="00511C99" w:rsidP="00E33A0A">
      <w:pPr>
        <w:spacing w:after="0" w:line="240" w:lineRule="auto"/>
        <w:rPr>
          <w:rFonts w:asciiTheme="majorHAnsi" w:hAnsiTheme="majorHAnsi" w:cstheme="majorHAnsi"/>
          <w:sz w:val="20"/>
          <w:szCs w:val="20"/>
        </w:rPr>
      </w:pPr>
      <w:r w:rsidRPr="007C583D">
        <w:rPr>
          <w:rFonts w:asciiTheme="majorHAnsi" w:hAnsiTheme="majorHAnsi" w:cstheme="majorHAnsi"/>
          <w:sz w:val="20"/>
          <w:szCs w:val="20"/>
          <w:vertAlign w:val="superscript"/>
        </w:rPr>
        <w:endnoteRef/>
      </w:r>
      <w:r w:rsidRPr="007C583D">
        <w:rPr>
          <w:rFonts w:asciiTheme="majorHAnsi" w:hAnsiTheme="majorHAnsi" w:cstheme="majorHAnsi"/>
          <w:sz w:val="20"/>
          <w:szCs w:val="20"/>
        </w:rPr>
        <w:t xml:space="preserve"> </w:t>
      </w:r>
      <w:hyperlink r:id="rId4">
        <w:r w:rsidRPr="007C583D">
          <w:rPr>
            <w:rFonts w:asciiTheme="majorHAnsi" w:hAnsiTheme="majorHAnsi" w:cstheme="majorHAnsi"/>
            <w:color w:val="1155CC"/>
            <w:sz w:val="20"/>
            <w:szCs w:val="20"/>
            <w:u w:val="single"/>
          </w:rPr>
          <w:t>https://www.newindianexpress.com/states/karnataka/2020/jun/02/185-lakh-in-india-didnt-get-access-to-abortion-facilities-in-lockdown-2150999.html</w:t>
        </w:r>
      </w:hyperlink>
      <w:r w:rsidRPr="007C583D">
        <w:rPr>
          <w:rFonts w:asciiTheme="majorHAnsi" w:hAnsiTheme="majorHAnsi" w:cstheme="majorHAnsi"/>
          <w:sz w:val="20"/>
          <w:szCs w:val="20"/>
        </w:rPr>
        <w:t xml:space="preserve">  </w:t>
      </w:r>
    </w:p>
  </w:endnote>
  <w:endnote w:id="14">
    <w:p w14:paraId="00000042" w14:textId="61182171" w:rsidR="00511C99" w:rsidRPr="007C583D" w:rsidRDefault="00511C99" w:rsidP="00E33A0A">
      <w:pPr>
        <w:spacing w:after="0" w:line="240" w:lineRule="auto"/>
        <w:rPr>
          <w:rFonts w:asciiTheme="majorHAnsi" w:hAnsiTheme="majorHAnsi" w:cstheme="majorHAnsi"/>
          <w:sz w:val="20"/>
          <w:szCs w:val="20"/>
        </w:rPr>
      </w:pPr>
      <w:r w:rsidRPr="007C583D">
        <w:rPr>
          <w:rFonts w:asciiTheme="majorHAnsi" w:hAnsiTheme="majorHAnsi" w:cstheme="majorHAnsi"/>
          <w:sz w:val="20"/>
          <w:szCs w:val="20"/>
          <w:vertAlign w:val="superscript"/>
        </w:rPr>
        <w:endnoteRef/>
      </w:r>
      <w:r w:rsidRPr="007C583D">
        <w:rPr>
          <w:rFonts w:asciiTheme="majorHAnsi" w:hAnsiTheme="majorHAnsi" w:cstheme="majorHAnsi"/>
          <w:sz w:val="20"/>
          <w:szCs w:val="20"/>
        </w:rPr>
        <w:t xml:space="preserve"> Barua, Alka,  Katherine Watson, Marina Plesons, et.al.  Adolescent health programming in India: a rapid review. Reproductive Health. BMC. (2020).  ‘Seen, Not Heard: Youth Led Audit of Sexual and Reproductive Health Services in Lucknow. The YP Foundation. (2016).</w:t>
      </w:r>
    </w:p>
  </w:endnote>
  <w:endnote w:id="15">
    <w:p w14:paraId="00000043" w14:textId="3446253A" w:rsidR="00511C99" w:rsidRPr="007C583D" w:rsidRDefault="00511C99" w:rsidP="00E33A0A">
      <w:pPr>
        <w:pBdr>
          <w:top w:val="nil"/>
          <w:left w:val="nil"/>
          <w:bottom w:val="nil"/>
          <w:right w:val="nil"/>
          <w:between w:val="nil"/>
        </w:pBdr>
        <w:spacing w:after="0" w:line="240" w:lineRule="auto"/>
        <w:rPr>
          <w:rFonts w:asciiTheme="majorHAnsi" w:hAnsiTheme="majorHAnsi" w:cstheme="majorHAnsi"/>
          <w:color w:val="000000"/>
          <w:sz w:val="20"/>
          <w:szCs w:val="20"/>
        </w:rPr>
      </w:pPr>
      <w:r w:rsidRPr="007C583D">
        <w:rPr>
          <w:rFonts w:asciiTheme="majorHAnsi" w:hAnsiTheme="majorHAnsi" w:cstheme="majorHAnsi"/>
          <w:sz w:val="20"/>
          <w:szCs w:val="20"/>
          <w:vertAlign w:val="superscript"/>
        </w:rPr>
        <w:endnoteRef/>
      </w:r>
      <w:r w:rsidRPr="007C583D">
        <w:rPr>
          <w:rFonts w:asciiTheme="majorHAnsi" w:hAnsiTheme="majorHAnsi" w:cstheme="majorHAnsi"/>
          <w:color w:val="000000"/>
          <w:sz w:val="20"/>
          <w:szCs w:val="20"/>
        </w:rPr>
        <w:t xml:space="preserve"> John, Mary E., </w:t>
      </w:r>
      <w:r w:rsidR="00D04D1E">
        <w:rPr>
          <w:rFonts w:asciiTheme="majorHAnsi" w:hAnsiTheme="majorHAnsi" w:cstheme="majorHAnsi"/>
          <w:color w:val="000000"/>
          <w:sz w:val="20"/>
          <w:szCs w:val="20"/>
        </w:rPr>
        <w:t xml:space="preserve">(2014) </w:t>
      </w:r>
      <w:r w:rsidRPr="007C583D">
        <w:rPr>
          <w:rFonts w:asciiTheme="majorHAnsi" w:hAnsiTheme="majorHAnsi" w:cstheme="majorHAnsi"/>
          <w:color w:val="000000"/>
          <w:sz w:val="20"/>
          <w:szCs w:val="20"/>
        </w:rPr>
        <w:t>Sex Ratios and Gender Biased Sex Selection: History, Debates and Future Directions, UNWomen and UNFPA).</w:t>
      </w:r>
    </w:p>
  </w:endnote>
  <w:endnote w:id="16">
    <w:p w14:paraId="00000044" w14:textId="77777777" w:rsidR="00511C99" w:rsidRPr="007C583D" w:rsidRDefault="00511C99" w:rsidP="00E33A0A">
      <w:pPr>
        <w:spacing w:after="0" w:line="240" w:lineRule="auto"/>
        <w:rPr>
          <w:rFonts w:asciiTheme="majorHAnsi" w:eastAsia="Times New Roman" w:hAnsiTheme="majorHAnsi" w:cstheme="majorHAnsi"/>
          <w:sz w:val="20"/>
          <w:szCs w:val="20"/>
          <w:highlight w:val="white"/>
        </w:rPr>
      </w:pPr>
      <w:r w:rsidRPr="007C583D">
        <w:rPr>
          <w:rFonts w:asciiTheme="majorHAnsi" w:hAnsiTheme="majorHAnsi" w:cstheme="majorHAnsi"/>
          <w:sz w:val="20"/>
          <w:szCs w:val="20"/>
          <w:vertAlign w:val="superscript"/>
        </w:rPr>
        <w:endnoteRef/>
      </w:r>
      <w:r w:rsidRPr="007C583D">
        <w:rPr>
          <w:rFonts w:asciiTheme="majorHAnsi" w:hAnsiTheme="majorHAnsi" w:cstheme="majorHAnsi"/>
          <w:color w:val="000000"/>
          <w:sz w:val="20"/>
          <w:szCs w:val="20"/>
        </w:rPr>
        <w:t xml:space="preserve"> Bongaarts, John and Christophe Z. Guilmoto (2015) How Many More Missing Women? Excess Female Mo</w:t>
      </w:r>
      <w:r w:rsidRPr="007C583D">
        <w:rPr>
          <w:rFonts w:asciiTheme="majorHAnsi" w:eastAsia="Times New Roman" w:hAnsiTheme="majorHAnsi" w:cstheme="majorHAnsi"/>
          <w:sz w:val="20"/>
          <w:szCs w:val="20"/>
          <w:highlight w:val="white"/>
        </w:rPr>
        <w:t>r</w:t>
      </w:r>
      <w:r w:rsidRPr="007C583D">
        <w:rPr>
          <w:rFonts w:asciiTheme="majorHAnsi" w:hAnsiTheme="majorHAnsi" w:cstheme="majorHAnsi"/>
          <w:color w:val="000000"/>
          <w:sz w:val="20"/>
          <w:szCs w:val="20"/>
        </w:rPr>
        <w:t xml:space="preserve">tality and Pre-natal Sex Selection 1970-2050.  </w:t>
      </w:r>
      <w:r w:rsidRPr="007C583D">
        <w:rPr>
          <w:rFonts w:asciiTheme="majorHAnsi" w:hAnsiTheme="majorHAnsi" w:cstheme="majorHAnsi"/>
          <w:i/>
          <w:color w:val="000000"/>
          <w:sz w:val="20"/>
          <w:szCs w:val="20"/>
        </w:rPr>
        <w:t xml:space="preserve">Population and Development Review </w:t>
      </w:r>
      <w:r w:rsidRPr="007C583D">
        <w:rPr>
          <w:rFonts w:asciiTheme="majorHAnsi" w:hAnsiTheme="majorHAnsi" w:cstheme="majorHAnsi"/>
          <w:color w:val="000000"/>
          <w:sz w:val="20"/>
          <w:szCs w:val="20"/>
        </w:rPr>
        <w:t>41 (2).</w:t>
      </w:r>
    </w:p>
    <w:p w14:paraId="00000046" w14:textId="155CF8DE" w:rsidR="00511C99" w:rsidRDefault="00511C99" w:rsidP="00E33A0A">
      <w:pPr>
        <w:pBdr>
          <w:top w:val="nil"/>
          <w:left w:val="nil"/>
          <w:bottom w:val="nil"/>
          <w:right w:val="nil"/>
          <w:between w:val="nil"/>
        </w:pBdr>
        <w:spacing w:after="0" w:line="240" w:lineRule="auto"/>
        <w:rPr>
          <w:rFonts w:asciiTheme="majorHAnsi" w:hAnsiTheme="majorHAnsi" w:cstheme="majorHAnsi"/>
          <w:color w:val="000000"/>
          <w:sz w:val="20"/>
          <w:szCs w:val="20"/>
        </w:rPr>
      </w:pPr>
    </w:p>
    <w:p w14:paraId="4A4BCAC9" w14:textId="77777777" w:rsidR="001F5BDE" w:rsidRPr="00EF21DB" w:rsidRDefault="001F5BDE" w:rsidP="00E33A0A">
      <w:pPr>
        <w:pBdr>
          <w:top w:val="nil"/>
          <w:left w:val="nil"/>
          <w:bottom w:val="nil"/>
          <w:right w:val="nil"/>
          <w:between w:val="nil"/>
        </w:pBdr>
        <w:spacing w:after="0" w:line="240" w:lineRule="auto"/>
      </w:pPr>
    </w:p>
    <w:p w14:paraId="033EE22D" w14:textId="77777777" w:rsidR="00E339DA" w:rsidRPr="00E339DA" w:rsidRDefault="00E339DA" w:rsidP="00E33A0A">
      <w:pPr>
        <w:pBdr>
          <w:top w:val="nil"/>
          <w:left w:val="nil"/>
          <w:bottom w:val="nil"/>
          <w:right w:val="nil"/>
          <w:between w:val="nil"/>
        </w:pBdr>
        <w:spacing w:after="0" w:line="240" w:lineRule="auto"/>
        <w:rPr>
          <w:rFonts w:ascii="Times New Roman" w:hAnsi="Times New Roman" w:cs="Times New Roman"/>
          <w:b/>
          <w:bCs/>
          <w:color w:val="000000"/>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61B40957" w:rsidR="00040A07" w:rsidRDefault="00447A3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65D73">
      <w:rPr>
        <w:noProof/>
        <w:color w:val="000000"/>
      </w:rPr>
      <w:t>1</w:t>
    </w:r>
    <w:r>
      <w:rPr>
        <w:color w:val="000000"/>
      </w:rPr>
      <w:fldChar w:fldCharType="end"/>
    </w:r>
  </w:p>
  <w:p w14:paraId="00000048" w14:textId="77777777" w:rsidR="00040A07" w:rsidRDefault="00040A0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B595" w14:textId="77777777" w:rsidR="007E1983" w:rsidRDefault="007E1983">
      <w:pPr>
        <w:spacing w:after="0" w:line="240" w:lineRule="auto"/>
      </w:pPr>
      <w:r>
        <w:separator/>
      </w:r>
    </w:p>
  </w:footnote>
  <w:footnote w:type="continuationSeparator" w:id="0">
    <w:p w14:paraId="5AE7F386" w14:textId="77777777" w:rsidR="007E1983" w:rsidRDefault="007E1983">
      <w:pPr>
        <w:spacing w:after="0" w:line="240" w:lineRule="auto"/>
      </w:pPr>
      <w:r>
        <w:continuationSeparator/>
      </w:r>
    </w:p>
  </w:footnote>
  <w:footnote w:id="1">
    <w:p w14:paraId="07BB9F69" w14:textId="74458B82" w:rsidR="009959C7" w:rsidRPr="009959C7" w:rsidRDefault="009959C7">
      <w:pPr>
        <w:pStyle w:val="FootnoteText"/>
        <w:rPr>
          <w:lang w:val="en-GB"/>
        </w:rPr>
      </w:pPr>
      <w:r>
        <w:rPr>
          <w:rStyle w:val="FootnoteReference"/>
        </w:rPr>
        <w:footnoteRef/>
      </w:r>
      <w:r>
        <w:t xml:space="preserve"> </w:t>
      </w:r>
      <w:r>
        <w:rPr>
          <w:lang w:val="en-GB"/>
        </w:rPr>
        <w:t>This is a revised version of the Memorandum submitted to the Task Force in 2020</w:t>
      </w:r>
    </w:p>
  </w:footnote>
  <w:footnote w:id="2">
    <w:p w14:paraId="101B77B1" w14:textId="5A17DF2D" w:rsidR="00D36E2A" w:rsidRPr="00D36E2A" w:rsidRDefault="00D36E2A">
      <w:pPr>
        <w:pStyle w:val="FootnoteText"/>
        <w:rPr>
          <w:lang w:val="en-GB"/>
        </w:rPr>
      </w:pPr>
      <w:r>
        <w:rPr>
          <w:rStyle w:val="FootnoteReference"/>
        </w:rPr>
        <w:footnoteRef/>
      </w:r>
      <w:r>
        <w:t xml:space="preserve"> </w:t>
      </w:r>
      <w:r>
        <w:rPr>
          <w:lang w:val="en-GB"/>
        </w:rPr>
        <w:t xml:space="preserve">NFHS V is </w:t>
      </w:r>
      <w:proofErr w:type="spellStart"/>
      <w:proofErr w:type="gramStart"/>
      <w:r>
        <w:rPr>
          <w:lang w:val="en-GB"/>
        </w:rPr>
        <w:t>our</w:t>
      </w:r>
      <w:proofErr w:type="spellEnd"/>
      <w:proofErr w:type="gramEnd"/>
      <w:r>
        <w:rPr>
          <w:lang w:val="en-GB"/>
        </w:rPr>
        <w:t xml:space="preserve"> with the latest data which is </w:t>
      </w:r>
      <w:r w:rsidR="00856495">
        <w:rPr>
          <w:lang w:val="en-GB"/>
        </w:rPr>
        <w:t>6.8%</w:t>
      </w:r>
      <w:r w:rsidR="0081204D">
        <w:rPr>
          <w:lang w:val="en-GB"/>
        </w:rPr>
        <w:t>.</w:t>
      </w:r>
    </w:p>
  </w:footnote>
  <w:footnote w:id="3">
    <w:p w14:paraId="12B71596" w14:textId="5E63907C" w:rsidR="009C1AC2" w:rsidRPr="009C1AC2" w:rsidRDefault="009C1AC2">
      <w:pPr>
        <w:pStyle w:val="FootnoteText"/>
        <w:rPr>
          <w:lang w:val="en-GB"/>
        </w:rPr>
      </w:pPr>
      <w:r>
        <w:rPr>
          <w:rStyle w:val="FootnoteReference"/>
        </w:rPr>
        <w:footnoteRef/>
      </w:r>
      <w:r>
        <w:t xml:space="preserve"> </w:t>
      </w:r>
      <w:r>
        <w:rPr>
          <w:lang w:val="en-GB"/>
        </w:rPr>
        <w:t xml:space="preserve">Breakthrough </w:t>
      </w:r>
      <w:r w:rsidR="00404FD5">
        <w:rPr>
          <w:lang w:val="en-GB"/>
        </w:rPr>
        <w:t>India Trust was missed out in the original memo has now been included in the updated version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838D7"/>
    <w:multiLevelType w:val="hybridMultilevel"/>
    <w:tmpl w:val="B1E41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07"/>
    <w:rsid w:val="00040A07"/>
    <w:rsid w:val="000461E0"/>
    <w:rsid w:val="00064F58"/>
    <w:rsid w:val="000A3865"/>
    <w:rsid w:val="001B70EB"/>
    <w:rsid w:val="001F5BDE"/>
    <w:rsid w:val="00242BAF"/>
    <w:rsid w:val="0033459F"/>
    <w:rsid w:val="00365684"/>
    <w:rsid w:val="00383708"/>
    <w:rsid w:val="003854E2"/>
    <w:rsid w:val="00393E93"/>
    <w:rsid w:val="00404FD5"/>
    <w:rsid w:val="00447A33"/>
    <w:rsid w:val="004562A6"/>
    <w:rsid w:val="00465D73"/>
    <w:rsid w:val="004677A4"/>
    <w:rsid w:val="00496BA2"/>
    <w:rsid w:val="004B0280"/>
    <w:rsid w:val="004D7A4C"/>
    <w:rsid w:val="00511C99"/>
    <w:rsid w:val="00533F3E"/>
    <w:rsid w:val="00577A70"/>
    <w:rsid w:val="005C02D3"/>
    <w:rsid w:val="005C171E"/>
    <w:rsid w:val="00642561"/>
    <w:rsid w:val="00671703"/>
    <w:rsid w:val="0067710B"/>
    <w:rsid w:val="00724422"/>
    <w:rsid w:val="00742C46"/>
    <w:rsid w:val="007C583D"/>
    <w:rsid w:val="007E1983"/>
    <w:rsid w:val="0081204D"/>
    <w:rsid w:val="00825960"/>
    <w:rsid w:val="00856495"/>
    <w:rsid w:val="008648EC"/>
    <w:rsid w:val="00866D53"/>
    <w:rsid w:val="008A20C0"/>
    <w:rsid w:val="008A4A35"/>
    <w:rsid w:val="008E5480"/>
    <w:rsid w:val="009046A9"/>
    <w:rsid w:val="009646F4"/>
    <w:rsid w:val="009959C7"/>
    <w:rsid w:val="009C1AC2"/>
    <w:rsid w:val="00A43C53"/>
    <w:rsid w:val="00A44A52"/>
    <w:rsid w:val="00A70C47"/>
    <w:rsid w:val="00AE5438"/>
    <w:rsid w:val="00B02E84"/>
    <w:rsid w:val="00B04DF2"/>
    <w:rsid w:val="00B1318D"/>
    <w:rsid w:val="00B766D1"/>
    <w:rsid w:val="00B95161"/>
    <w:rsid w:val="00BA6F35"/>
    <w:rsid w:val="00BB43F0"/>
    <w:rsid w:val="00BC102F"/>
    <w:rsid w:val="00BC50FA"/>
    <w:rsid w:val="00BD2CC9"/>
    <w:rsid w:val="00C04176"/>
    <w:rsid w:val="00C2262D"/>
    <w:rsid w:val="00C470A5"/>
    <w:rsid w:val="00C704D4"/>
    <w:rsid w:val="00C811F0"/>
    <w:rsid w:val="00D04D1E"/>
    <w:rsid w:val="00D16FD0"/>
    <w:rsid w:val="00D17243"/>
    <w:rsid w:val="00D36E2A"/>
    <w:rsid w:val="00D527BA"/>
    <w:rsid w:val="00D53C0A"/>
    <w:rsid w:val="00D55667"/>
    <w:rsid w:val="00DD5F23"/>
    <w:rsid w:val="00E20822"/>
    <w:rsid w:val="00E339DA"/>
    <w:rsid w:val="00E33A0A"/>
    <w:rsid w:val="00E45175"/>
    <w:rsid w:val="00E520FC"/>
    <w:rsid w:val="00E83EE8"/>
    <w:rsid w:val="00EA0178"/>
    <w:rsid w:val="00EC0389"/>
    <w:rsid w:val="00EC5EA8"/>
    <w:rsid w:val="00EC62E0"/>
    <w:rsid w:val="00ED46EA"/>
    <w:rsid w:val="00F23AC8"/>
    <w:rsid w:val="00F27277"/>
    <w:rsid w:val="00F72FF2"/>
    <w:rsid w:val="00FC7DF2"/>
    <w:rsid w:val="00FD3B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E53F"/>
  <w15:docId w15:val="{67896683-EB56-47AC-9F28-23543A7A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5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D73"/>
    <w:rPr>
      <w:rFonts w:ascii="Segoe UI" w:hAnsi="Segoe UI" w:cs="Segoe UI"/>
      <w:sz w:val="18"/>
      <w:szCs w:val="18"/>
    </w:rPr>
  </w:style>
  <w:style w:type="paragraph" w:styleId="EndnoteText">
    <w:name w:val="endnote text"/>
    <w:basedOn w:val="Normal"/>
    <w:link w:val="EndnoteTextChar"/>
    <w:uiPriority w:val="99"/>
    <w:semiHidden/>
    <w:unhideWhenUsed/>
    <w:rsid w:val="00511C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1C99"/>
    <w:rPr>
      <w:sz w:val="20"/>
      <w:szCs w:val="20"/>
    </w:rPr>
  </w:style>
  <w:style w:type="character" w:styleId="EndnoteReference">
    <w:name w:val="endnote reference"/>
    <w:basedOn w:val="DefaultParagraphFont"/>
    <w:uiPriority w:val="99"/>
    <w:semiHidden/>
    <w:unhideWhenUsed/>
    <w:rsid w:val="00511C99"/>
    <w:rPr>
      <w:vertAlign w:val="superscript"/>
    </w:rPr>
  </w:style>
  <w:style w:type="paragraph" w:styleId="FootnoteText">
    <w:name w:val="footnote text"/>
    <w:basedOn w:val="Normal"/>
    <w:link w:val="FootnoteTextChar"/>
    <w:uiPriority w:val="99"/>
    <w:semiHidden/>
    <w:unhideWhenUsed/>
    <w:rsid w:val="00511C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C99"/>
    <w:rPr>
      <w:sz w:val="20"/>
      <w:szCs w:val="20"/>
    </w:rPr>
  </w:style>
  <w:style w:type="character" w:styleId="FootnoteReference">
    <w:name w:val="footnote reference"/>
    <w:basedOn w:val="DefaultParagraphFont"/>
    <w:uiPriority w:val="99"/>
    <w:semiHidden/>
    <w:unhideWhenUsed/>
    <w:rsid w:val="00511C99"/>
    <w:rPr>
      <w:vertAlign w:val="superscript"/>
    </w:rPr>
  </w:style>
  <w:style w:type="paragraph" w:styleId="ListParagraph">
    <w:name w:val="List Paragraph"/>
    <w:basedOn w:val="Normal"/>
    <w:uiPriority w:val="34"/>
    <w:qFormat/>
    <w:rsid w:val="001F5BDE"/>
    <w:pPr>
      <w:ind w:left="720"/>
      <w:contextualSpacing/>
    </w:pPr>
    <w:rPr>
      <w:rFonts w:asciiTheme="minorHAnsi" w:eastAsiaTheme="minorHAnsi" w:hAnsi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haqcrc.org/issue-based-publication/child-marriage/towards-ending-child-marriage-2018/" TargetMode="External"/><Relationship Id="rId2" Type="http://schemas.openxmlformats.org/officeDocument/2006/relationships/hyperlink" Target="https://www.haqcrc.org/new-at-haq/report-of-the-child-marriage-prevention-programme-summary-report/" TargetMode="External"/><Relationship Id="rId1" Type="http://schemas.openxmlformats.org/officeDocument/2006/relationships/hyperlink" Target="https://bit.ly/2Veg9FA" TargetMode="External"/><Relationship Id="rId4" Type="http://schemas.openxmlformats.org/officeDocument/2006/relationships/hyperlink" Target="https://www.newindianexpress.com/states/karnataka/2020/jun/02/185-lakh-in-india-didnt-get-access-to-abortion-facilities-in-lockdown-21509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9BC6E-556D-4A63-96E7-1CB4E9EE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3107</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Enakshi Ganguly</dc:creator>
  <cp:lastModifiedBy>Shipra Jha</cp:lastModifiedBy>
  <cp:revision>2</cp:revision>
  <cp:lastPrinted>2020-06-25T13:23:00Z</cp:lastPrinted>
  <dcterms:created xsi:type="dcterms:W3CDTF">2021-12-17T07:48:00Z</dcterms:created>
  <dcterms:modified xsi:type="dcterms:W3CDTF">2021-12-17T07:48:00Z</dcterms:modified>
</cp:coreProperties>
</file>